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31EFA4FD" w14:textId="77777777">
        <w:tc>
          <w:tcPr>
            <w:tcW w:w="5868" w:type="dxa"/>
            <w:tcBorders>
              <w:top w:val="nil"/>
              <w:left w:val="nil"/>
              <w:bottom w:val="nil"/>
              <w:right w:val="nil"/>
            </w:tcBorders>
          </w:tcPr>
          <w:p w14:paraId="7C476923" w14:textId="77777777" w:rsidR="003379BD" w:rsidRPr="004553BF" w:rsidRDefault="003379BD">
            <w:pPr>
              <w:pStyle w:val="Heading1"/>
            </w:pPr>
            <w:r w:rsidRPr="004553BF">
              <w:t>DEPARTMENT OF HEALTH SERVICES</w:t>
            </w:r>
          </w:p>
          <w:p w14:paraId="5A9963EA"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499B001E" w14:textId="06F4BA45"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6B1BAD">
              <w:rPr>
                <w:rFonts w:ascii="Arial" w:hAnsi="Arial"/>
                <w:sz w:val="18"/>
              </w:rPr>
              <w:t>5</w:t>
            </w:r>
            <w:r w:rsidR="00017A46">
              <w:rPr>
                <w:rFonts w:ascii="Arial" w:hAnsi="Arial"/>
                <w:sz w:val="18"/>
              </w:rPr>
              <w:t>/20</w:t>
            </w:r>
            <w:r w:rsidR="006B1BAD">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5A605F41"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3E333115" w14:textId="77777777" w:rsidR="003379BD" w:rsidRPr="004553BF" w:rsidRDefault="003379BD">
            <w:pPr>
              <w:jc w:val="right"/>
              <w:rPr>
                <w:rFonts w:ascii="Arial" w:hAnsi="Arial"/>
                <w:sz w:val="18"/>
              </w:rPr>
            </w:pPr>
            <w:r w:rsidRPr="004553BF">
              <w:rPr>
                <w:rFonts w:ascii="Arial" w:hAnsi="Arial"/>
                <w:sz w:val="18"/>
              </w:rPr>
              <w:t>42 CFR483.420(a)(2)</w:t>
            </w:r>
          </w:p>
          <w:p w14:paraId="4CEEBEC1"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7E18E0EE"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1B79FD1B"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51994FE2"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450"/>
        <w:gridCol w:w="936"/>
        <w:gridCol w:w="144"/>
        <w:gridCol w:w="1764"/>
        <w:gridCol w:w="126"/>
        <w:gridCol w:w="2250"/>
        <w:gridCol w:w="1440"/>
      </w:tblGrid>
      <w:tr w:rsidR="003379BD" w14:paraId="390AFCBA" w14:textId="77777777">
        <w:trPr>
          <w:cantSplit/>
        </w:trPr>
        <w:tc>
          <w:tcPr>
            <w:tcW w:w="11448" w:type="dxa"/>
            <w:gridSpan w:val="10"/>
            <w:tcBorders>
              <w:top w:val="nil"/>
              <w:left w:val="nil"/>
              <w:bottom w:val="single" w:sz="4" w:space="0" w:color="auto"/>
              <w:right w:val="nil"/>
            </w:tcBorders>
          </w:tcPr>
          <w:p w14:paraId="019A6001" w14:textId="77777777" w:rsidR="003379BD" w:rsidRDefault="003379BD" w:rsidP="0031599E">
            <w:pPr>
              <w:pStyle w:val="Heading3"/>
            </w:pPr>
            <w:r>
              <w:t>INFORMED CONSENT FOR MEDICATION</w:t>
            </w:r>
          </w:p>
          <w:p w14:paraId="1A61C41B" w14:textId="77777777" w:rsidR="00464819" w:rsidRDefault="00464819" w:rsidP="00464819">
            <w:pPr>
              <w:pStyle w:val="Heading4"/>
            </w:pPr>
            <w:r>
              <w:t xml:space="preserve">Dosage and / or Side Effect information last revised on </w:t>
            </w:r>
            <w:r w:rsidR="005D0FB5">
              <w:t>12/22/2017</w:t>
            </w:r>
          </w:p>
          <w:p w14:paraId="33AD0D10" w14:textId="08B901E7"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6B1BAD">
              <w:rPr>
                <w:rFonts w:ascii="Arial" w:hAnsi="Arial"/>
                <w:sz w:val="18"/>
              </w:rPr>
              <w:t>informed consent is not given</w:t>
            </w:r>
            <w:r>
              <w:rPr>
                <w:rFonts w:ascii="Arial" w:hAnsi="Arial"/>
                <w:sz w:val="18"/>
              </w:rPr>
              <w:t>, the medication cannot be administered without a court order unless in an emergency.</w:t>
            </w:r>
          </w:p>
          <w:p w14:paraId="10DAE83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122E850" w14:textId="77777777">
        <w:trPr>
          <w:trHeight w:hRule="exact" w:val="480"/>
        </w:trPr>
        <w:tc>
          <w:tcPr>
            <w:tcW w:w="5868" w:type="dxa"/>
            <w:gridSpan w:val="6"/>
            <w:tcBorders>
              <w:top w:val="single" w:sz="4" w:space="0" w:color="auto"/>
              <w:left w:val="nil"/>
              <w:bottom w:val="single" w:sz="4" w:space="0" w:color="auto"/>
            </w:tcBorders>
          </w:tcPr>
          <w:p w14:paraId="758E47FE" w14:textId="77777777" w:rsidR="003379BD" w:rsidRDefault="003379BD">
            <w:pPr>
              <w:rPr>
                <w:rFonts w:ascii="Arial" w:hAnsi="Arial"/>
                <w:sz w:val="18"/>
              </w:rPr>
            </w:pPr>
            <w:r>
              <w:rPr>
                <w:rFonts w:ascii="Arial" w:hAnsi="Arial"/>
                <w:sz w:val="18"/>
              </w:rPr>
              <w:t>Name – Patient / Client (Last, First MI)</w:t>
            </w:r>
          </w:p>
          <w:p w14:paraId="6E6CCA51"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5E9A66C2" w14:textId="77777777" w:rsidR="003379BD" w:rsidRDefault="003379BD">
            <w:pPr>
              <w:rPr>
                <w:rFonts w:ascii="Arial" w:hAnsi="Arial"/>
                <w:sz w:val="18"/>
              </w:rPr>
            </w:pPr>
            <w:r>
              <w:rPr>
                <w:rFonts w:ascii="Arial" w:hAnsi="Arial"/>
                <w:sz w:val="18"/>
              </w:rPr>
              <w:t>ID Number</w:t>
            </w:r>
          </w:p>
          <w:p w14:paraId="6464F884"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109ECA34" w14:textId="77777777" w:rsidR="003379BD" w:rsidRDefault="003379BD">
            <w:pPr>
              <w:rPr>
                <w:rFonts w:ascii="Arial" w:hAnsi="Arial"/>
                <w:sz w:val="18"/>
              </w:rPr>
            </w:pPr>
            <w:r>
              <w:rPr>
                <w:rFonts w:ascii="Arial" w:hAnsi="Arial"/>
                <w:sz w:val="18"/>
              </w:rPr>
              <w:t>Living Unit</w:t>
            </w:r>
          </w:p>
          <w:p w14:paraId="36BFF619"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7D50E250" w14:textId="77777777" w:rsidR="003379BD" w:rsidRDefault="006B7A42">
            <w:pPr>
              <w:rPr>
                <w:rFonts w:ascii="Arial" w:hAnsi="Arial"/>
                <w:sz w:val="18"/>
              </w:rPr>
            </w:pPr>
            <w:r>
              <w:rPr>
                <w:rFonts w:ascii="Arial" w:hAnsi="Arial"/>
                <w:sz w:val="18"/>
              </w:rPr>
              <w:t>Date of Birth</w:t>
            </w:r>
          </w:p>
          <w:p w14:paraId="230710F9"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105A0C19" w14:textId="77777777">
        <w:trPr>
          <w:cantSplit/>
        </w:trPr>
        <w:tc>
          <w:tcPr>
            <w:tcW w:w="4338" w:type="dxa"/>
            <w:gridSpan w:val="3"/>
            <w:tcBorders>
              <w:top w:val="single" w:sz="4" w:space="0" w:color="auto"/>
              <w:left w:val="nil"/>
              <w:bottom w:val="single" w:sz="4" w:space="0" w:color="auto"/>
            </w:tcBorders>
          </w:tcPr>
          <w:p w14:paraId="13372653" w14:textId="77777777" w:rsidR="003379BD" w:rsidRDefault="003379BD">
            <w:pPr>
              <w:rPr>
                <w:rFonts w:ascii="Arial" w:hAnsi="Arial"/>
                <w:sz w:val="18"/>
              </w:rPr>
            </w:pPr>
            <w:r>
              <w:rPr>
                <w:rFonts w:ascii="Arial" w:hAnsi="Arial"/>
                <w:sz w:val="18"/>
              </w:rPr>
              <w:t>Name – Individual Preparing This Form</w:t>
            </w:r>
          </w:p>
          <w:p w14:paraId="45C5E8C9"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54804E6B" w14:textId="77777777" w:rsidR="003379BD" w:rsidRDefault="003379BD">
            <w:pPr>
              <w:rPr>
                <w:rFonts w:ascii="Arial" w:hAnsi="Arial"/>
                <w:sz w:val="18"/>
              </w:rPr>
            </w:pPr>
            <w:r>
              <w:rPr>
                <w:rFonts w:ascii="Arial" w:hAnsi="Arial"/>
                <w:sz w:val="18"/>
              </w:rPr>
              <w:t>Name – Staff Contact</w:t>
            </w:r>
          </w:p>
          <w:p w14:paraId="594D522F"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656C3D2" w14:textId="77777777" w:rsidR="003379BD" w:rsidRDefault="003379BD">
            <w:pPr>
              <w:rPr>
                <w:rFonts w:ascii="Arial" w:hAnsi="Arial"/>
                <w:sz w:val="18"/>
              </w:rPr>
            </w:pPr>
            <w:r>
              <w:rPr>
                <w:rFonts w:ascii="Arial" w:hAnsi="Arial"/>
                <w:sz w:val="18"/>
              </w:rPr>
              <w:t>Name / Telephone Number – Institution</w:t>
            </w:r>
          </w:p>
          <w:p w14:paraId="49A31499"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40BCA72F" w14:textId="77777777" w:rsidTr="005D0FB5">
        <w:trPr>
          <w:cantSplit/>
        </w:trPr>
        <w:tc>
          <w:tcPr>
            <w:tcW w:w="3168" w:type="dxa"/>
            <w:tcBorders>
              <w:top w:val="single" w:sz="4" w:space="0" w:color="auto"/>
              <w:left w:val="nil"/>
              <w:bottom w:val="nil"/>
            </w:tcBorders>
            <w:vAlign w:val="center"/>
          </w:tcPr>
          <w:p w14:paraId="698EDEBD" w14:textId="77777777" w:rsidR="003379BD" w:rsidRDefault="003379BD" w:rsidP="00DF0FF9">
            <w:pPr>
              <w:pStyle w:val="Heading4"/>
              <w:spacing w:before="0"/>
            </w:pPr>
            <w:r>
              <w:t>MEDICATION CATEGORY</w:t>
            </w:r>
          </w:p>
        </w:tc>
        <w:tc>
          <w:tcPr>
            <w:tcW w:w="1620" w:type="dxa"/>
            <w:gridSpan w:val="3"/>
            <w:tcBorders>
              <w:top w:val="single" w:sz="4" w:space="0" w:color="auto"/>
              <w:bottom w:val="nil"/>
              <w:right w:val="nil"/>
            </w:tcBorders>
            <w:vAlign w:val="center"/>
          </w:tcPr>
          <w:p w14:paraId="2903F9B0" w14:textId="77777777" w:rsidR="003379BD" w:rsidRDefault="003379BD" w:rsidP="00DF0FF9">
            <w:pPr>
              <w:jc w:val="center"/>
              <w:rPr>
                <w:rFonts w:ascii="Arial" w:hAnsi="Arial"/>
                <w:b/>
                <w:sz w:val="18"/>
              </w:rPr>
            </w:pPr>
            <w:r>
              <w:rPr>
                <w:rFonts w:ascii="Arial" w:hAnsi="Arial"/>
                <w:b/>
                <w:sz w:val="18"/>
              </w:rPr>
              <w:t>MEDICATION</w:t>
            </w:r>
          </w:p>
        </w:tc>
        <w:tc>
          <w:tcPr>
            <w:tcW w:w="5220" w:type="dxa"/>
            <w:gridSpan w:val="5"/>
            <w:tcBorders>
              <w:top w:val="single" w:sz="4" w:space="0" w:color="auto"/>
              <w:bottom w:val="nil"/>
              <w:right w:val="nil"/>
            </w:tcBorders>
            <w:vAlign w:val="center"/>
          </w:tcPr>
          <w:p w14:paraId="188EA68A" w14:textId="77777777" w:rsidR="003379BD" w:rsidRDefault="003379BD" w:rsidP="00DF0FF9">
            <w:pPr>
              <w:pStyle w:val="Heading4"/>
              <w:spacing w:before="0"/>
            </w:pPr>
            <w:r>
              <w:t>RECOMMENDED</w:t>
            </w:r>
          </w:p>
          <w:p w14:paraId="3397A831"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5C1C3225" w14:textId="77777777" w:rsidR="003379BD" w:rsidRDefault="003379BD" w:rsidP="00DF0FF9">
            <w:pPr>
              <w:pStyle w:val="Heading4"/>
              <w:spacing w:before="0"/>
              <w:rPr>
                <w:b w:val="0"/>
              </w:rPr>
            </w:pPr>
            <w:r>
              <w:t>ANTICIPATED</w:t>
            </w:r>
            <w:r w:rsidR="00DF0FF9">
              <w:t xml:space="preserve"> </w:t>
            </w:r>
            <w:r>
              <w:t>DOSAGE RANGE</w:t>
            </w:r>
          </w:p>
        </w:tc>
      </w:tr>
      <w:tr w:rsidR="005D0FB5" w14:paraId="6AB47490" w14:textId="77777777" w:rsidTr="005D0FB5">
        <w:trPr>
          <w:cantSplit/>
        </w:trPr>
        <w:tc>
          <w:tcPr>
            <w:tcW w:w="3168" w:type="dxa"/>
            <w:tcBorders>
              <w:top w:val="single" w:sz="4" w:space="0" w:color="auto"/>
              <w:left w:val="nil"/>
              <w:bottom w:val="single" w:sz="4" w:space="0" w:color="auto"/>
            </w:tcBorders>
            <w:vAlign w:val="center"/>
          </w:tcPr>
          <w:p w14:paraId="20668593" w14:textId="77777777" w:rsidR="005D0FB5" w:rsidRDefault="005D0FB5" w:rsidP="007579FC">
            <w:pPr>
              <w:spacing w:before="60"/>
              <w:rPr>
                <w:sz w:val="22"/>
              </w:rPr>
            </w:pPr>
            <w:r w:rsidRPr="00F125E2">
              <w:rPr>
                <w:noProof/>
                <w:sz w:val="22"/>
              </w:rPr>
              <w:t>Central Nervous System Agent</w:t>
            </w:r>
          </w:p>
        </w:tc>
        <w:tc>
          <w:tcPr>
            <w:tcW w:w="1620" w:type="dxa"/>
            <w:gridSpan w:val="3"/>
            <w:tcBorders>
              <w:top w:val="single" w:sz="4" w:space="0" w:color="auto"/>
              <w:bottom w:val="single" w:sz="4" w:space="0" w:color="auto"/>
              <w:right w:val="nil"/>
            </w:tcBorders>
            <w:vAlign w:val="center"/>
          </w:tcPr>
          <w:p w14:paraId="181F2788" w14:textId="77777777" w:rsidR="005D0FB5" w:rsidRDefault="005D0FB5" w:rsidP="007579FC">
            <w:pPr>
              <w:tabs>
                <w:tab w:val="left" w:pos="702"/>
                <w:tab w:val="left" w:pos="882"/>
                <w:tab w:val="left" w:pos="1152"/>
                <w:tab w:val="left" w:pos="1602"/>
              </w:tabs>
              <w:rPr>
                <w:sz w:val="22"/>
              </w:rPr>
            </w:pPr>
            <w:r w:rsidRPr="00F125E2">
              <w:rPr>
                <w:noProof/>
                <w:sz w:val="22"/>
              </w:rPr>
              <w:t>Strattera</w:t>
            </w:r>
          </w:p>
          <w:p w14:paraId="7E3C38AF" w14:textId="77777777" w:rsidR="005D0FB5" w:rsidRDefault="005D0FB5" w:rsidP="007579FC">
            <w:pPr>
              <w:tabs>
                <w:tab w:val="left" w:pos="702"/>
                <w:tab w:val="left" w:pos="882"/>
                <w:tab w:val="left" w:pos="1152"/>
                <w:tab w:val="left" w:pos="1602"/>
              </w:tabs>
              <w:rPr>
                <w:sz w:val="22"/>
              </w:rPr>
            </w:pPr>
            <w:r>
              <w:rPr>
                <w:sz w:val="22"/>
              </w:rPr>
              <w:t>(</w:t>
            </w:r>
            <w:r w:rsidRPr="00F125E2">
              <w:rPr>
                <w:noProof/>
                <w:sz w:val="22"/>
              </w:rPr>
              <w:t>atomoxetine</w:t>
            </w:r>
            <w:r>
              <w:rPr>
                <w:sz w:val="22"/>
              </w:rPr>
              <w:t>)</w:t>
            </w:r>
          </w:p>
        </w:tc>
        <w:tc>
          <w:tcPr>
            <w:tcW w:w="5220" w:type="dxa"/>
            <w:gridSpan w:val="5"/>
            <w:tcBorders>
              <w:top w:val="single" w:sz="4" w:space="0" w:color="auto"/>
              <w:bottom w:val="single" w:sz="4" w:space="0" w:color="auto"/>
              <w:right w:val="nil"/>
            </w:tcBorders>
            <w:vAlign w:val="center"/>
          </w:tcPr>
          <w:p w14:paraId="67579F30" w14:textId="77777777" w:rsidR="005D0FB5" w:rsidRDefault="005D0FB5" w:rsidP="007579FC">
            <w:pPr>
              <w:tabs>
                <w:tab w:val="left" w:pos="702"/>
                <w:tab w:val="left" w:pos="882"/>
                <w:tab w:val="left" w:pos="1152"/>
                <w:tab w:val="left" w:pos="1602"/>
              </w:tabs>
              <w:rPr>
                <w:noProof/>
                <w:sz w:val="22"/>
              </w:rPr>
            </w:pPr>
            <w:r>
              <w:rPr>
                <w:noProof/>
                <w:sz w:val="22"/>
              </w:rPr>
              <w:t>Oral:</w:t>
            </w:r>
          </w:p>
          <w:p w14:paraId="2782D9F8" w14:textId="77777777" w:rsidR="005D0FB5" w:rsidRDefault="005D0FB5" w:rsidP="007579FC">
            <w:pPr>
              <w:tabs>
                <w:tab w:val="left" w:pos="702"/>
                <w:tab w:val="left" w:pos="882"/>
                <w:tab w:val="left" w:pos="1152"/>
                <w:tab w:val="left" w:pos="1602"/>
              </w:tabs>
              <w:rPr>
                <w:sz w:val="22"/>
              </w:rPr>
            </w:pPr>
            <w:r w:rsidRPr="00F125E2">
              <w:rPr>
                <w:noProof/>
                <w:sz w:val="22"/>
              </w:rPr>
              <w:t>Adults: 40mg—</w:t>
            </w:r>
            <w:r>
              <w:rPr>
                <w:noProof/>
                <w:sz w:val="22"/>
              </w:rPr>
              <w:t xml:space="preserve">100 </w:t>
            </w:r>
            <w:r w:rsidRPr="00F125E2">
              <w:rPr>
                <w:noProof/>
                <w:sz w:val="22"/>
              </w:rPr>
              <w:t>mg</w:t>
            </w:r>
            <w:r>
              <w:rPr>
                <w:noProof/>
                <w:sz w:val="22"/>
              </w:rPr>
              <w:t xml:space="preserve"> per day in 1 or 2 divided doses</w:t>
            </w:r>
            <w:r w:rsidRPr="00F125E2">
              <w:rPr>
                <w:noProof/>
                <w:sz w:val="22"/>
              </w:rPr>
              <w:br/>
              <w:t>Children</w:t>
            </w:r>
            <w:r>
              <w:rPr>
                <w:noProof/>
                <w:sz w:val="22"/>
              </w:rPr>
              <w:t xml:space="preserve"> over 6</w:t>
            </w:r>
            <w:r w:rsidRPr="00F125E2">
              <w:rPr>
                <w:noProof/>
                <w:sz w:val="22"/>
              </w:rPr>
              <w:t>: Dose by body weight</w:t>
            </w:r>
            <w:r>
              <w:rPr>
                <w:noProof/>
                <w:sz w:val="22"/>
              </w:rPr>
              <w:t xml:space="preserve"> (up to 100 mg per day in 1 or 2 divided doses)</w:t>
            </w:r>
          </w:p>
        </w:tc>
        <w:tc>
          <w:tcPr>
            <w:tcW w:w="1440" w:type="dxa"/>
            <w:tcBorders>
              <w:top w:val="single" w:sz="4" w:space="0" w:color="auto"/>
              <w:bottom w:val="single" w:sz="4" w:space="0" w:color="auto"/>
              <w:right w:val="nil"/>
            </w:tcBorders>
            <w:vAlign w:val="center"/>
          </w:tcPr>
          <w:p w14:paraId="61F0B74A" w14:textId="77777777" w:rsidR="005D0FB5" w:rsidRDefault="005D0FB5"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0EBAF547" w14:textId="77777777">
        <w:trPr>
          <w:cantSplit/>
          <w:trHeight w:hRule="exact" w:val="1200"/>
        </w:trPr>
        <w:tc>
          <w:tcPr>
            <w:tcW w:w="11448" w:type="dxa"/>
            <w:gridSpan w:val="10"/>
            <w:tcBorders>
              <w:top w:val="nil"/>
              <w:left w:val="nil"/>
              <w:bottom w:val="single" w:sz="4" w:space="0" w:color="auto"/>
              <w:right w:val="nil"/>
            </w:tcBorders>
          </w:tcPr>
          <w:p w14:paraId="27E89A9F"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180853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A83D623"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47280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47280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47280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4DA56F8A" w14:textId="77777777">
        <w:trPr>
          <w:cantSplit/>
          <w:trHeight w:hRule="exact" w:val="600"/>
        </w:trPr>
        <w:tc>
          <w:tcPr>
            <w:tcW w:w="11448" w:type="dxa"/>
            <w:gridSpan w:val="10"/>
            <w:tcBorders>
              <w:top w:val="single" w:sz="4" w:space="0" w:color="auto"/>
              <w:left w:val="nil"/>
              <w:bottom w:val="nil"/>
              <w:right w:val="nil"/>
            </w:tcBorders>
          </w:tcPr>
          <w:p w14:paraId="3560623C" w14:textId="38C732BA"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6B1BAD">
              <w:rPr>
                <w:b w:val="0"/>
              </w:rPr>
              <w:t>impression (</w:t>
            </w:r>
            <w:r w:rsidRPr="00097390">
              <w:rPr>
                <w:b w:val="0"/>
              </w:rPr>
              <w:t>“working hypothesis</w:t>
            </w:r>
            <w:r w:rsidR="0031599E" w:rsidRPr="00097390">
              <w:rPr>
                <w:b w:val="0"/>
              </w:rPr>
              <w:t>.”</w:t>
            </w:r>
            <w:r w:rsidR="006B1BAD">
              <w:rPr>
                <w:b w:val="0"/>
              </w:rPr>
              <w:t>)</w:t>
            </w:r>
          </w:p>
        </w:tc>
      </w:tr>
      <w:tr w:rsidR="003379BD" w14:paraId="598987EA" w14:textId="77777777" w:rsidTr="006B1BAD">
        <w:trPr>
          <w:cantSplit/>
          <w:trHeight w:val="1008"/>
        </w:trPr>
        <w:tc>
          <w:tcPr>
            <w:tcW w:w="11448" w:type="dxa"/>
            <w:gridSpan w:val="10"/>
            <w:tcBorders>
              <w:top w:val="nil"/>
              <w:left w:val="nil"/>
              <w:bottom w:val="single" w:sz="4" w:space="0" w:color="auto"/>
              <w:right w:val="nil"/>
            </w:tcBorders>
          </w:tcPr>
          <w:p w14:paraId="5EB4CF82"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29671B71" w14:textId="77777777">
        <w:trPr>
          <w:cantSplit/>
          <w:trHeight w:val="240"/>
        </w:trPr>
        <w:tc>
          <w:tcPr>
            <w:tcW w:w="11448" w:type="dxa"/>
            <w:gridSpan w:val="10"/>
            <w:tcBorders>
              <w:top w:val="single" w:sz="4" w:space="0" w:color="auto"/>
              <w:left w:val="nil"/>
              <w:bottom w:val="nil"/>
              <w:right w:val="nil"/>
            </w:tcBorders>
          </w:tcPr>
          <w:p w14:paraId="0C30061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7D5CE300" w14:textId="77777777">
        <w:trPr>
          <w:cantSplit/>
          <w:trHeight w:val="240"/>
        </w:trPr>
        <w:tc>
          <w:tcPr>
            <w:tcW w:w="5724" w:type="dxa"/>
            <w:gridSpan w:val="5"/>
            <w:tcBorders>
              <w:top w:val="nil"/>
              <w:left w:val="nil"/>
              <w:bottom w:val="nil"/>
              <w:right w:val="nil"/>
            </w:tcBorders>
            <w:vAlign w:val="center"/>
          </w:tcPr>
          <w:p w14:paraId="73948B8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24B98CD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77D333CB" w14:textId="77777777">
        <w:trPr>
          <w:cantSplit/>
          <w:trHeight w:val="240"/>
        </w:trPr>
        <w:tc>
          <w:tcPr>
            <w:tcW w:w="5724" w:type="dxa"/>
            <w:gridSpan w:val="5"/>
            <w:tcBorders>
              <w:top w:val="nil"/>
              <w:left w:val="nil"/>
              <w:bottom w:val="nil"/>
              <w:right w:val="nil"/>
            </w:tcBorders>
            <w:vAlign w:val="center"/>
          </w:tcPr>
          <w:p w14:paraId="6F7D817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3CDCA5D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33715E59" w14:textId="77777777">
        <w:trPr>
          <w:cantSplit/>
          <w:trHeight w:val="240"/>
        </w:trPr>
        <w:tc>
          <w:tcPr>
            <w:tcW w:w="5724" w:type="dxa"/>
            <w:gridSpan w:val="5"/>
            <w:tcBorders>
              <w:top w:val="nil"/>
              <w:left w:val="nil"/>
              <w:bottom w:val="nil"/>
              <w:right w:val="nil"/>
            </w:tcBorders>
            <w:vAlign w:val="center"/>
          </w:tcPr>
          <w:p w14:paraId="7C76FB4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7B9237B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DAFB837" w14:textId="77777777" w:rsidTr="006B1BAD">
        <w:trPr>
          <w:cantSplit/>
          <w:trHeight w:val="1008"/>
        </w:trPr>
        <w:tc>
          <w:tcPr>
            <w:tcW w:w="11448" w:type="dxa"/>
            <w:gridSpan w:val="10"/>
            <w:tcBorders>
              <w:top w:val="nil"/>
              <w:left w:val="nil"/>
              <w:bottom w:val="nil"/>
              <w:right w:val="nil"/>
            </w:tcBorders>
          </w:tcPr>
          <w:p w14:paraId="1F3D4C95"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4DCE3081" w14:textId="77777777">
        <w:trPr>
          <w:cantSplit/>
          <w:trHeight w:hRule="exact" w:val="240"/>
        </w:trPr>
        <w:tc>
          <w:tcPr>
            <w:tcW w:w="11448" w:type="dxa"/>
            <w:gridSpan w:val="10"/>
            <w:tcBorders>
              <w:top w:val="nil"/>
              <w:left w:val="nil"/>
              <w:bottom w:val="nil"/>
              <w:right w:val="nil"/>
            </w:tcBorders>
          </w:tcPr>
          <w:p w14:paraId="293ABF6B"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71BF1C99" w14:textId="77777777" w:rsidTr="00934FD5">
        <w:trPr>
          <w:cantSplit/>
          <w:trHeight w:val="288"/>
        </w:trPr>
        <w:tc>
          <w:tcPr>
            <w:tcW w:w="3816" w:type="dxa"/>
            <w:gridSpan w:val="2"/>
            <w:tcBorders>
              <w:top w:val="nil"/>
              <w:left w:val="nil"/>
              <w:bottom w:val="nil"/>
              <w:right w:val="nil"/>
            </w:tcBorders>
            <w:vAlign w:val="center"/>
          </w:tcPr>
          <w:p w14:paraId="7A27AD63"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472805">
              <w:rPr>
                <w:b w:val="0"/>
              </w:rPr>
            </w:r>
            <w:r w:rsidR="00472805">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5F3397B7"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472805">
              <w:rPr>
                <w:b w:val="0"/>
              </w:rPr>
            </w:r>
            <w:r w:rsidR="00472805">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9501EEC"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472805">
              <w:rPr>
                <w:b w:val="0"/>
              </w:rPr>
            </w:r>
            <w:r w:rsidR="00472805">
              <w:rPr>
                <w:b w:val="0"/>
              </w:rPr>
              <w:fldChar w:fldCharType="separate"/>
            </w:r>
            <w:r>
              <w:rPr>
                <w:b w:val="0"/>
              </w:rPr>
              <w:fldChar w:fldCharType="end"/>
            </w:r>
            <w:bookmarkEnd w:id="19"/>
            <w:r>
              <w:rPr>
                <w:b w:val="0"/>
              </w:rPr>
              <w:t xml:space="preserve"> Social Functioning</w:t>
            </w:r>
          </w:p>
        </w:tc>
      </w:tr>
      <w:tr w:rsidR="003379BD" w14:paraId="3E3D12CE" w14:textId="77777777">
        <w:trPr>
          <w:cantSplit/>
          <w:trHeight w:val="240"/>
        </w:trPr>
        <w:tc>
          <w:tcPr>
            <w:tcW w:w="3816" w:type="dxa"/>
            <w:gridSpan w:val="2"/>
            <w:tcBorders>
              <w:top w:val="nil"/>
              <w:left w:val="nil"/>
              <w:bottom w:val="nil"/>
              <w:right w:val="nil"/>
            </w:tcBorders>
          </w:tcPr>
          <w:p w14:paraId="4BB903C1"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13D1EBCB"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774F74B4" w14:textId="77777777" w:rsidR="003379BD" w:rsidRDefault="003379BD">
            <w:pPr>
              <w:pStyle w:val="Heading4"/>
              <w:tabs>
                <w:tab w:val="left" w:pos="540"/>
              </w:tabs>
              <w:jc w:val="left"/>
              <w:rPr>
                <w:b w:val="0"/>
              </w:rPr>
            </w:pPr>
          </w:p>
        </w:tc>
      </w:tr>
      <w:tr w:rsidR="003379BD" w14:paraId="641EDC42" w14:textId="77777777">
        <w:trPr>
          <w:cantSplit/>
          <w:trHeight w:val="192"/>
        </w:trPr>
        <w:tc>
          <w:tcPr>
            <w:tcW w:w="5724" w:type="dxa"/>
            <w:gridSpan w:val="5"/>
            <w:tcBorders>
              <w:top w:val="nil"/>
              <w:left w:val="nil"/>
              <w:bottom w:val="nil"/>
              <w:right w:val="nil"/>
            </w:tcBorders>
          </w:tcPr>
          <w:p w14:paraId="48073497"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577950D5" w14:textId="77777777" w:rsidR="003379BD" w:rsidRDefault="003379BD">
            <w:pPr>
              <w:pStyle w:val="Heading4"/>
              <w:tabs>
                <w:tab w:val="left" w:pos="540"/>
              </w:tabs>
              <w:jc w:val="left"/>
              <w:rPr>
                <w:b w:val="0"/>
              </w:rPr>
            </w:pPr>
          </w:p>
        </w:tc>
      </w:tr>
      <w:bookmarkStart w:id="20" w:name="_Hlk151783589"/>
      <w:tr w:rsidR="003379BD" w14:paraId="748898C0" w14:textId="77777777">
        <w:trPr>
          <w:cantSplit/>
          <w:trHeight w:val="192"/>
        </w:trPr>
        <w:tc>
          <w:tcPr>
            <w:tcW w:w="5724" w:type="dxa"/>
            <w:gridSpan w:val="5"/>
            <w:tcBorders>
              <w:top w:val="nil"/>
              <w:left w:val="nil"/>
              <w:bottom w:val="nil"/>
              <w:right w:val="nil"/>
            </w:tcBorders>
            <w:vAlign w:val="center"/>
          </w:tcPr>
          <w:p w14:paraId="0EF4CADD"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472805">
              <w:rPr>
                <w:b w:val="0"/>
              </w:rPr>
            </w:r>
            <w:r w:rsidR="00472805">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60172F90"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472805">
              <w:rPr>
                <w:b w:val="0"/>
              </w:rPr>
            </w:r>
            <w:r w:rsidR="00472805">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17CCC91B" w14:textId="77777777">
        <w:trPr>
          <w:cantSplit/>
          <w:trHeight w:val="192"/>
        </w:trPr>
        <w:tc>
          <w:tcPr>
            <w:tcW w:w="5724" w:type="dxa"/>
            <w:gridSpan w:val="5"/>
            <w:tcBorders>
              <w:top w:val="nil"/>
              <w:left w:val="nil"/>
              <w:bottom w:val="nil"/>
              <w:right w:val="nil"/>
            </w:tcBorders>
            <w:vAlign w:val="center"/>
          </w:tcPr>
          <w:p w14:paraId="3758FE1A"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472805">
              <w:rPr>
                <w:b w:val="0"/>
              </w:rPr>
            </w:r>
            <w:r w:rsidR="00472805">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6C190B2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472805">
              <w:rPr>
                <w:b w:val="0"/>
              </w:rPr>
            </w:r>
            <w:r w:rsidR="00472805">
              <w:rPr>
                <w:b w:val="0"/>
              </w:rPr>
              <w:fldChar w:fldCharType="separate"/>
            </w:r>
            <w:r>
              <w:rPr>
                <w:b w:val="0"/>
              </w:rPr>
              <w:fldChar w:fldCharType="end"/>
            </w:r>
            <w:bookmarkEnd w:id="24"/>
            <w:r>
              <w:rPr>
                <w:b w:val="0"/>
              </w:rPr>
              <w:t xml:space="preserve"> Intervention of law enforcement authorities</w:t>
            </w:r>
          </w:p>
        </w:tc>
      </w:tr>
      <w:tr w:rsidR="003379BD" w14:paraId="1C839D14" w14:textId="77777777">
        <w:trPr>
          <w:cantSplit/>
          <w:trHeight w:val="192"/>
        </w:trPr>
        <w:tc>
          <w:tcPr>
            <w:tcW w:w="5724" w:type="dxa"/>
            <w:gridSpan w:val="5"/>
            <w:tcBorders>
              <w:top w:val="nil"/>
              <w:left w:val="nil"/>
              <w:bottom w:val="nil"/>
              <w:right w:val="nil"/>
            </w:tcBorders>
            <w:vAlign w:val="center"/>
          </w:tcPr>
          <w:p w14:paraId="264BDBAA"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472805">
              <w:rPr>
                <w:b w:val="0"/>
              </w:rPr>
            </w:r>
            <w:r w:rsidR="00472805">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4736CDD7"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472805">
              <w:rPr>
                <w:b w:val="0"/>
              </w:rPr>
            </w:r>
            <w:r w:rsidR="00472805">
              <w:rPr>
                <w:b w:val="0"/>
              </w:rPr>
              <w:fldChar w:fldCharType="separate"/>
            </w:r>
            <w:r>
              <w:rPr>
                <w:b w:val="0"/>
              </w:rPr>
              <w:fldChar w:fldCharType="end"/>
            </w:r>
            <w:bookmarkEnd w:id="26"/>
            <w:r>
              <w:rPr>
                <w:b w:val="0"/>
              </w:rPr>
              <w:t xml:space="preserve"> Risk of harm to self or others</w:t>
            </w:r>
          </w:p>
        </w:tc>
      </w:tr>
      <w:tr w:rsidR="003379BD" w14:paraId="24E5D366" w14:textId="77777777">
        <w:trPr>
          <w:cantSplit/>
          <w:trHeight w:val="192"/>
        </w:trPr>
        <w:tc>
          <w:tcPr>
            <w:tcW w:w="5724" w:type="dxa"/>
            <w:gridSpan w:val="5"/>
            <w:tcBorders>
              <w:top w:val="nil"/>
              <w:left w:val="nil"/>
              <w:bottom w:val="nil"/>
              <w:right w:val="nil"/>
            </w:tcBorders>
            <w:vAlign w:val="center"/>
          </w:tcPr>
          <w:p w14:paraId="002DD84B"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472805">
              <w:rPr>
                <w:b w:val="0"/>
              </w:rPr>
            </w:r>
            <w:r w:rsidR="00472805">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79CF686B" w14:textId="77777777" w:rsidR="003379BD" w:rsidRDefault="003379BD">
            <w:pPr>
              <w:pStyle w:val="Heading4"/>
              <w:tabs>
                <w:tab w:val="left" w:pos="540"/>
              </w:tabs>
              <w:spacing w:before="0"/>
              <w:jc w:val="left"/>
              <w:rPr>
                <w:b w:val="0"/>
              </w:rPr>
            </w:pPr>
          </w:p>
        </w:tc>
      </w:tr>
      <w:bookmarkEnd w:id="20"/>
      <w:tr w:rsidR="003379BD" w14:paraId="327C7593" w14:textId="77777777" w:rsidTr="006B1BAD">
        <w:trPr>
          <w:cantSplit/>
          <w:trHeight w:val="1008"/>
        </w:trPr>
        <w:tc>
          <w:tcPr>
            <w:tcW w:w="11448" w:type="dxa"/>
            <w:gridSpan w:val="10"/>
            <w:tcBorders>
              <w:top w:val="nil"/>
              <w:left w:val="nil"/>
              <w:bottom w:val="single" w:sz="4" w:space="0" w:color="auto"/>
              <w:right w:val="nil"/>
            </w:tcBorders>
          </w:tcPr>
          <w:p w14:paraId="1FEBC1F4"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71A8DF94" w14:textId="77777777">
        <w:trPr>
          <w:cantSplit/>
          <w:trHeight w:hRule="exact" w:val="440"/>
        </w:trPr>
        <w:tc>
          <w:tcPr>
            <w:tcW w:w="11448" w:type="dxa"/>
            <w:gridSpan w:val="10"/>
            <w:tcBorders>
              <w:top w:val="single" w:sz="4" w:space="0" w:color="auto"/>
              <w:left w:val="nil"/>
              <w:bottom w:val="single" w:sz="4" w:space="0" w:color="auto"/>
              <w:right w:val="nil"/>
            </w:tcBorders>
          </w:tcPr>
          <w:p w14:paraId="6BB74A43"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769618B0" w14:textId="77777777" w:rsidR="003379BD" w:rsidRDefault="00464819">
      <w:pPr>
        <w:jc w:val="right"/>
        <w:rPr>
          <w:rFonts w:ascii="Arial" w:hAnsi="Arial"/>
          <w:sz w:val="18"/>
        </w:rPr>
      </w:pPr>
      <w:r>
        <w:rPr>
          <w:rFonts w:ascii="Arial" w:hAnsi="Arial"/>
          <w:sz w:val="18"/>
        </w:rPr>
        <w:t>See Page 2</w:t>
      </w:r>
    </w:p>
    <w:p w14:paraId="773E15BD"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47AB1793" w14:textId="77777777">
        <w:trPr>
          <w:tblHeader/>
        </w:trPr>
        <w:tc>
          <w:tcPr>
            <w:tcW w:w="4788" w:type="dxa"/>
            <w:tcBorders>
              <w:top w:val="nil"/>
              <w:left w:val="nil"/>
              <w:bottom w:val="nil"/>
              <w:right w:val="nil"/>
            </w:tcBorders>
          </w:tcPr>
          <w:p w14:paraId="23D4F2F7"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B79B896" w14:textId="77777777" w:rsidR="003379BD" w:rsidRDefault="00B3591C" w:rsidP="00CF16BF">
            <w:pPr>
              <w:rPr>
                <w:rFonts w:ascii="Arial" w:hAnsi="Arial"/>
                <w:sz w:val="18"/>
              </w:rPr>
            </w:pPr>
            <w:r>
              <w:rPr>
                <w:rFonts w:ascii="Arial" w:hAnsi="Arial"/>
                <w:sz w:val="18"/>
              </w:rPr>
              <w:t xml:space="preserve">Medication : </w:t>
            </w:r>
            <w:r w:rsidRPr="00F125E2">
              <w:rPr>
                <w:noProof/>
                <w:sz w:val="22"/>
              </w:rPr>
              <w:t>Strattera</w:t>
            </w:r>
            <w:r>
              <w:rPr>
                <w:sz w:val="22"/>
              </w:rPr>
              <w:t xml:space="preserve"> -</w:t>
            </w:r>
            <w:r>
              <w:rPr>
                <w:rFonts w:ascii="Arial" w:hAnsi="Arial"/>
                <w:sz w:val="18"/>
              </w:rPr>
              <w:t xml:space="preserve"> (</w:t>
            </w:r>
            <w:r w:rsidRPr="00F125E2">
              <w:rPr>
                <w:noProof/>
                <w:sz w:val="22"/>
              </w:rPr>
              <w:t>atomoxetine</w:t>
            </w:r>
            <w:r>
              <w:rPr>
                <w:rFonts w:ascii="Arial" w:hAnsi="Arial"/>
                <w:sz w:val="18"/>
              </w:rPr>
              <w:t>)</w:t>
            </w:r>
          </w:p>
        </w:tc>
      </w:tr>
      <w:tr w:rsidR="003379BD" w14:paraId="652F88E5" w14:textId="77777777">
        <w:trPr>
          <w:cantSplit/>
        </w:trPr>
        <w:tc>
          <w:tcPr>
            <w:tcW w:w="11448" w:type="dxa"/>
            <w:gridSpan w:val="2"/>
            <w:tcBorders>
              <w:top w:val="single" w:sz="4" w:space="0" w:color="auto"/>
              <w:left w:val="nil"/>
              <w:bottom w:val="single" w:sz="4" w:space="0" w:color="auto"/>
              <w:right w:val="nil"/>
            </w:tcBorders>
          </w:tcPr>
          <w:p w14:paraId="09B44E61"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9BFDA76" w14:textId="77777777" w:rsidTr="008768D6">
        <w:trPr>
          <w:trHeight w:val="864"/>
        </w:trPr>
        <w:tc>
          <w:tcPr>
            <w:tcW w:w="11448" w:type="dxa"/>
            <w:gridSpan w:val="2"/>
            <w:tcBorders>
              <w:top w:val="single" w:sz="4" w:space="0" w:color="auto"/>
              <w:left w:val="nil"/>
              <w:bottom w:val="nil"/>
              <w:right w:val="nil"/>
            </w:tcBorders>
          </w:tcPr>
          <w:p w14:paraId="6BA3B917"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0300A9E2" w14:textId="77777777" w:rsidR="0021563E" w:rsidRDefault="003379BD" w:rsidP="00AD441D">
            <w:pPr>
              <w:pStyle w:val="Heading6"/>
              <w:spacing w:before="120"/>
              <w:rPr>
                <w:sz w:val="18"/>
                <w:szCs w:val="18"/>
              </w:rPr>
            </w:pPr>
            <w:r w:rsidRPr="0056414C">
              <w:rPr>
                <w:sz w:val="18"/>
                <w:szCs w:val="18"/>
              </w:rPr>
              <w:t>Most Common Side Effects</w:t>
            </w:r>
          </w:p>
          <w:p w14:paraId="4B8206C3" w14:textId="77777777" w:rsidR="00742D3E" w:rsidRDefault="00742D3E" w:rsidP="00742D3E">
            <w:pPr>
              <w:rPr>
                <w:rFonts w:ascii="Arial" w:hAnsi="Arial"/>
                <w:noProof/>
                <w:sz w:val="18"/>
              </w:rPr>
            </w:pPr>
            <w:r>
              <w:rPr>
                <w:rFonts w:ascii="Arial" w:hAnsi="Arial"/>
                <w:noProof/>
                <w:sz w:val="18"/>
              </w:rPr>
              <w:t>More common side effects include headache, insomnia, drowsiness, dry mouth, nausea, vomiting, decreased appetite, constipation, erectile dysfunction.</w:t>
            </w:r>
          </w:p>
          <w:p w14:paraId="564A4181" w14:textId="77777777" w:rsidR="00742D3E" w:rsidRPr="00742D3E" w:rsidRDefault="00742D3E" w:rsidP="00742D3E"/>
        </w:tc>
      </w:tr>
      <w:tr w:rsidR="003379BD" w14:paraId="696B2E3B" w14:textId="77777777" w:rsidTr="008768D6">
        <w:trPr>
          <w:trHeight w:val="576"/>
        </w:trPr>
        <w:tc>
          <w:tcPr>
            <w:tcW w:w="11448" w:type="dxa"/>
            <w:gridSpan w:val="2"/>
            <w:tcBorders>
              <w:top w:val="nil"/>
              <w:left w:val="nil"/>
              <w:bottom w:val="nil"/>
              <w:right w:val="nil"/>
            </w:tcBorders>
          </w:tcPr>
          <w:p w14:paraId="502CD096"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624ADDBC" w14:textId="77777777" w:rsidR="00742D3E" w:rsidRDefault="00742D3E" w:rsidP="00742D3E">
            <w:pPr>
              <w:rPr>
                <w:rFonts w:ascii="Arial" w:hAnsi="Arial"/>
                <w:noProof/>
                <w:sz w:val="18"/>
              </w:rPr>
            </w:pPr>
            <w:r>
              <w:rPr>
                <w:rFonts w:ascii="Arial" w:hAnsi="Arial"/>
                <w:noProof/>
                <w:sz w:val="18"/>
              </w:rPr>
              <w:t>Less common side effects include increased blood pressure, palpitations, cold extremities, syncope, flushing, dizziness, depression, irritability,  decreased sex drive or ability, dyspepsia.</w:t>
            </w:r>
          </w:p>
          <w:p w14:paraId="6D296DEE" w14:textId="77777777" w:rsidR="00742D3E" w:rsidRDefault="00742D3E" w:rsidP="00AD441D">
            <w:pPr>
              <w:rPr>
                <w:b/>
              </w:rPr>
            </w:pPr>
          </w:p>
        </w:tc>
      </w:tr>
      <w:tr w:rsidR="003379BD" w14:paraId="2E452DD2" w14:textId="77777777" w:rsidTr="008768D6">
        <w:trPr>
          <w:trHeight w:val="576"/>
        </w:trPr>
        <w:tc>
          <w:tcPr>
            <w:tcW w:w="11448" w:type="dxa"/>
            <w:gridSpan w:val="2"/>
            <w:tcBorders>
              <w:top w:val="nil"/>
              <w:left w:val="nil"/>
              <w:bottom w:val="nil"/>
              <w:right w:val="nil"/>
            </w:tcBorders>
          </w:tcPr>
          <w:p w14:paraId="4FD9877E" w14:textId="77777777" w:rsidR="003379BD" w:rsidRDefault="003379BD" w:rsidP="00AD441D">
            <w:pPr>
              <w:rPr>
                <w:rFonts w:ascii="Arial" w:hAnsi="Arial"/>
                <w:b/>
                <w:sz w:val="18"/>
              </w:rPr>
            </w:pPr>
            <w:r>
              <w:rPr>
                <w:rFonts w:ascii="Arial" w:hAnsi="Arial"/>
                <w:b/>
                <w:sz w:val="18"/>
              </w:rPr>
              <w:t>Rare Side Effects</w:t>
            </w:r>
          </w:p>
          <w:p w14:paraId="672FC27D" w14:textId="77777777" w:rsidR="00742D3E" w:rsidRDefault="00742D3E" w:rsidP="00AD441D">
            <w:pPr>
              <w:rPr>
                <w:b/>
              </w:rPr>
            </w:pPr>
            <w:r>
              <w:rPr>
                <w:rFonts w:ascii="Arial" w:hAnsi="Arial"/>
                <w:noProof/>
                <w:sz w:val="18"/>
              </w:rPr>
              <w:t>Rare side effects include aggressive behavior, alopecia, angioedema, delusions, liver toxicity, panic attack.</w:t>
            </w:r>
          </w:p>
        </w:tc>
      </w:tr>
      <w:tr w:rsidR="003379BD" w14:paraId="61F98489" w14:textId="77777777" w:rsidTr="008768D6">
        <w:trPr>
          <w:trHeight w:val="576"/>
        </w:trPr>
        <w:tc>
          <w:tcPr>
            <w:tcW w:w="11448" w:type="dxa"/>
            <w:gridSpan w:val="2"/>
            <w:tcBorders>
              <w:top w:val="nil"/>
              <w:left w:val="nil"/>
              <w:bottom w:val="nil"/>
              <w:right w:val="nil"/>
            </w:tcBorders>
          </w:tcPr>
          <w:p w14:paraId="2EFBA729" w14:textId="77777777" w:rsidR="00A874C3" w:rsidRDefault="00A874C3" w:rsidP="00A874C3">
            <w:pPr>
              <w:rPr>
                <w:rFonts w:ascii="Arial" w:hAnsi="Arial"/>
                <w:noProof/>
                <w:sz w:val="18"/>
              </w:rPr>
            </w:pPr>
            <w:r>
              <w:rPr>
                <w:rFonts w:ascii="Arial" w:hAnsi="Arial"/>
                <w:b/>
                <w:noProof/>
                <w:sz w:val="18"/>
              </w:rPr>
              <w:t>BLACK BOX WARNING</w:t>
            </w:r>
          </w:p>
          <w:p w14:paraId="07488985" w14:textId="77777777" w:rsidR="00A874C3" w:rsidRDefault="00A874C3" w:rsidP="00A874C3">
            <w:pPr>
              <w:rPr>
                <w:rFonts w:ascii="Arial" w:hAnsi="Arial"/>
                <w:noProof/>
                <w:sz w:val="18"/>
              </w:rPr>
            </w:pPr>
            <w:r w:rsidRPr="00343587">
              <w:rPr>
                <w:rFonts w:ascii="Arial" w:hAnsi="Arial"/>
                <w:b/>
                <w:noProof/>
                <w:sz w:val="18"/>
              </w:rPr>
              <w:t>Suicidal ideation in children and adolescents</w:t>
            </w:r>
            <w:r>
              <w:rPr>
                <w:rFonts w:ascii="Arial" w:hAnsi="Arial"/>
                <w:noProof/>
                <w:sz w:val="18"/>
              </w:rPr>
              <w:t>: Atomoxetine increased the risk of suicidal ideation in short-term studies in children or adolescents with attention deficit hyperactivity disorder (ADHD). Anyone considering the use of atomoxetine in a child or adolescent must balance this risk with the clinical need. Comorbidities occurring with ADHD may be associated with an increase in the risk of suicidal ideation and/or behavior. Closely monitor patients who are started on therapy for suicidality (suicidal thinking and behavior), clinical worsening, or unusual changes in behavior. Advise families and caregivers of the need for close observation and communication with the prescribing health care provider.</w:t>
            </w:r>
          </w:p>
          <w:p w14:paraId="04D05A95" w14:textId="77777777" w:rsidR="00A874C3" w:rsidRDefault="00A874C3" w:rsidP="00A874C3">
            <w:pPr>
              <w:rPr>
                <w:rFonts w:ascii="Arial" w:hAnsi="Arial"/>
                <w:noProof/>
                <w:sz w:val="18"/>
              </w:rPr>
            </w:pPr>
          </w:p>
          <w:p w14:paraId="482FC07F" w14:textId="77777777" w:rsidR="00A874C3" w:rsidRDefault="00A874C3" w:rsidP="00A874C3">
            <w:pPr>
              <w:rPr>
                <w:rFonts w:ascii="Arial" w:hAnsi="Arial"/>
                <w:noProof/>
                <w:sz w:val="18"/>
              </w:rPr>
            </w:pPr>
            <w:r>
              <w:rPr>
                <w:rFonts w:ascii="Arial" w:hAnsi="Arial"/>
                <w:b/>
                <w:noProof/>
                <w:sz w:val="18"/>
              </w:rPr>
              <w:t>Pooled Study Data:</w:t>
            </w:r>
            <w:r>
              <w:rPr>
                <w:rFonts w:ascii="Arial" w:hAnsi="Arial"/>
                <w:noProof/>
                <w:sz w:val="18"/>
              </w:rPr>
              <w:t xml:space="preserve"> Pooled analyses of short-term (6- to 18-week), placebo-controlled trials of atomoxetine in children and adolescents (12 trials involving more than 2,200 patients, including 11 trials in ADHD and 1 trial in enuresis) have revealed a greater risk of suicidal ideation early during treatment in those receiving atomoxetine compared with placebo. The average risk of suicidal ideation in patients receiving atomoxetine was 0.4% compared with none in placebo-treated patients. </w:t>
            </w:r>
            <w:r>
              <w:rPr>
                <w:rFonts w:ascii="Arial" w:hAnsi="Arial"/>
                <w:b/>
                <w:noProof/>
                <w:sz w:val="18"/>
              </w:rPr>
              <w:t>No suicides occurred in these trials.</w:t>
            </w:r>
          </w:p>
          <w:p w14:paraId="6AF8B515" w14:textId="77777777" w:rsidR="00A874C3" w:rsidRDefault="00A874C3" w:rsidP="00A874C3">
            <w:pPr>
              <w:rPr>
                <w:rFonts w:ascii="Arial" w:hAnsi="Arial"/>
                <w:noProof/>
                <w:sz w:val="18"/>
              </w:rPr>
            </w:pPr>
          </w:p>
          <w:p w14:paraId="6247C483" w14:textId="77777777" w:rsidR="00A874C3" w:rsidRDefault="00A874C3" w:rsidP="00A874C3">
            <w:pPr>
              <w:rPr>
                <w:rFonts w:ascii="Arial" w:hAnsi="Arial"/>
                <w:b/>
                <w:noProof/>
                <w:sz w:val="18"/>
                <w:u w:val="single"/>
              </w:rPr>
            </w:pPr>
            <w:r>
              <w:rPr>
                <w:rFonts w:ascii="Arial" w:hAnsi="Arial"/>
                <w:b/>
                <w:noProof/>
                <w:sz w:val="18"/>
              </w:rPr>
              <w:t>WARNINGS:</w:t>
            </w:r>
          </w:p>
          <w:p w14:paraId="764AC65B" w14:textId="77777777" w:rsidR="00A874C3" w:rsidRDefault="00A874C3" w:rsidP="00A874C3">
            <w:pPr>
              <w:rPr>
                <w:rFonts w:ascii="Arial" w:hAnsi="Arial"/>
                <w:noProof/>
                <w:sz w:val="18"/>
              </w:rPr>
            </w:pPr>
            <w:r w:rsidRPr="00343587">
              <w:rPr>
                <w:rFonts w:ascii="Arial" w:hAnsi="Arial"/>
                <w:b/>
                <w:noProof/>
                <w:sz w:val="18"/>
              </w:rPr>
              <w:t>Hepatotoxicity</w:t>
            </w:r>
            <w:r w:rsidRPr="00343587">
              <w:rPr>
                <w:rFonts w:ascii="Arial" w:hAnsi="Arial"/>
                <w:noProof/>
                <w:sz w:val="18"/>
              </w:rPr>
              <w:t xml:space="preserve"> – </w:t>
            </w:r>
            <w:r>
              <w:rPr>
                <w:rFonts w:ascii="Arial" w:hAnsi="Arial"/>
                <w:noProof/>
                <w:sz w:val="18"/>
              </w:rPr>
              <w:t>Use may be associated with rare but severe hepatotoxicity, including hepatic failure: discontinue and do not restart if signs or symptoms of hepatotoxic reaction (ie jaundice, pruritus, flu-like symptoms, dark urine, right upper quadrant tenderness) or laboratory evidence of liver injury are noted. Majority of reported cases occurred within 120 days of initiation of therapy.</w:t>
            </w:r>
          </w:p>
          <w:p w14:paraId="2DA8790F" w14:textId="77777777" w:rsidR="00A874C3" w:rsidRPr="00343587" w:rsidRDefault="00A874C3" w:rsidP="00A874C3">
            <w:pPr>
              <w:rPr>
                <w:rFonts w:ascii="Arial" w:hAnsi="Arial"/>
                <w:noProof/>
                <w:sz w:val="18"/>
              </w:rPr>
            </w:pPr>
          </w:p>
          <w:p w14:paraId="333912C9" w14:textId="77777777" w:rsidR="00A874C3" w:rsidRDefault="00A874C3" w:rsidP="00A874C3">
            <w:pPr>
              <w:rPr>
                <w:rFonts w:ascii="Arial" w:hAnsi="Arial"/>
                <w:noProof/>
                <w:sz w:val="18"/>
              </w:rPr>
            </w:pPr>
            <w:r w:rsidRPr="00343587">
              <w:rPr>
                <w:rFonts w:ascii="Arial" w:hAnsi="Arial"/>
                <w:b/>
                <w:noProof/>
                <w:sz w:val="18"/>
              </w:rPr>
              <w:t>Emergence of New Psychotic or Manic Symptoms</w:t>
            </w:r>
            <w:r w:rsidRPr="00343587">
              <w:rPr>
                <w:rFonts w:ascii="Arial" w:hAnsi="Arial"/>
                <w:noProof/>
                <w:sz w:val="18"/>
              </w:rPr>
              <w:t xml:space="preserve"> – </w:t>
            </w:r>
            <w:r>
              <w:rPr>
                <w:rFonts w:ascii="Arial" w:hAnsi="Arial"/>
                <w:noProof/>
                <w:sz w:val="18"/>
              </w:rPr>
              <w:t>Treatment-emergent psychotic or manic symptoms (hallucinations, delusional thinking, mania) may occur in children and adolescents without a prior history of psychotic illness or mania. Consider discontinuation of treatment if symptoms occur.</w:t>
            </w:r>
          </w:p>
          <w:p w14:paraId="2F9276CC" w14:textId="77777777" w:rsidR="00A874C3" w:rsidRPr="00343587" w:rsidRDefault="00A874C3" w:rsidP="00A874C3">
            <w:pPr>
              <w:rPr>
                <w:rFonts w:ascii="Arial" w:hAnsi="Arial"/>
                <w:noProof/>
                <w:sz w:val="18"/>
              </w:rPr>
            </w:pPr>
          </w:p>
          <w:p w14:paraId="20E4386B" w14:textId="77777777" w:rsidR="00A874C3" w:rsidRDefault="00A874C3" w:rsidP="00A874C3">
            <w:pPr>
              <w:rPr>
                <w:rFonts w:ascii="Arial" w:hAnsi="Arial"/>
                <w:noProof/>
                <w:sz w:val="18"/>
              </w:rPr>
            </w:pPr>
            <w:r w:rsidRPr="00343587">
              <w:rPr>
                <w:rFonts w:ascii="Arial" w:hAnsi="Arial"/>
                <w:b/>
                <w:noProof/>
                <w:sz w:val="18"/>
              </w:rPr>
              <w:t>Screening for bipolar disorder</w:t>
            </w:r>
            <w:r w:rsidRPr="00343587">
              <w:rPr>
                <w:rFonts w:ascii="Arial" w:hAnsi="Arial"/>
                <w:noProof/>
                <w:sz w:val="18"/>
              </w:rPr>
              <w:t xml:space="preserve"> – </w:t>
            </w:r>
            <w:r>
              <w:rPr>
                <w:rFonts w:ascii="Arial" w:hAnsi="Arial"/>
                <w:noProof/>
                <w:sz w:val="18"/>
              </w:rPr>
              <w:t>Therapy may induced mixed/manic episodes. Use caution in patients with comorbid bipolar disorder.</w:t>
            </w:r>
          </w:p>
          <w:p w14:paraId="6E551F35" w14:textId="77777777" w:rsidR="00A874C3" w:rsidRPr="00343587" w:rsidRDefault="00A874C3" w:rsidP="00A874C3">
            <w:pPr>
              <w:rPr>
                <w:rFonts w:ascii="Arial" w:hAnsi="Arial"/>
                <w:noProof/>
                <w:sz w:val="18"/>
              </w:rPr>
            </w:pPr>
          </w:p>
          <w:p w14:paraId="529B3940" w14:textId="77777777" w:rsidR="00A874C3" w:rsidRDefault="00A874C3" w:rsidP="00A874C3">
            <w:pPr>
              <w:rPr>
                <w:rFonts w:ascii="Arial" w:hAnsi="Arial"/>
                <w:noProof/>
                <w:sz w:val="18"/>
              </w:rPr>
            </w:pPr>
            <w:r w:rsidRPr="00343587">
              <w:rPr>
                <w:rFonts w:ascii="Arial" w:hAnsi="Arial"/>
                <w:b/>
                <w:noProof/>
                <w:sz w:val="18"/>
              </w:rPr>
              <w:t>Aggressive behavior or hostility</w:t>
            </w:r>
            <w:r w:rsidRPr="00343587">
              <w:rPr>
                <w:rFonts w:ascii="Arial" w:hAnsi="Arial"/>
                <w:noProof/>
                <w:sz w:val="18"/>
              </w:rPr>
              <w:t xml:space="preserve"> – </w:t>
            </w:r>
            <w:r>
              <w:rPr>
                <w:rFonts w:ascii="Arial" w:hAnsi="Arial"/>
                <w:noProof/>
                <w:sz w:val="18"/>
              </w:rPr>
              <w:t>New or worsening symptoms of hostility or aggressive behaviors have been associated with use, particulaly with initiation of therapy.</w:t>
            </w:r>
          </w:p>
          <w:p w14:paraId="27F035FA" w14:textId="77777777" w:rsidR="00A874C3" w:rsidRPr="00343587" w:rsidRDefault="00A874C3" w:rsidP="00A874C3">
            <w:pPr>
              <w:rPr>
                <w:rFonts w:ascii="Arial" w:hAnsi="Arial"/>
                <w:noProof/>
                <w:sz w:val="18"/>
              </w:rPr>
            </w:pPr>
          </w:p>
          <w:p w14:paraId="4553769C" w14:textId="77777777" w:rsidR="00A874C3" w:rsidRDefault="00A874C3" w:rsidP="00A874C3">
            <w:pPr>
              <w:rPr>
                <w:rFonts w:ascii="Arial" w:hAnsi="Arial"/>
                <w:noProof/>
                <w:sz w:val="18"/>
              </w:rPr>
            </w:pPr>
            <w:r w:rsidRPr="00343587">
              <w:rPr>
                <w:rFonts w:ascii="Arial" w:hAnsi="Arial"/>
                <w:b/>
                <w:noProof/>
                <w:sz w:val="18"/>
              </w:rPr>
              <w:t>Serious Cardiovascular Events</w:t>
            </w:r>
            <w:r>
              <w:rPr>
                <w:rFonts w:ascii="Arial" w:hAnsi="Arial"/>
                <w:noProof/>
                <w:sz w:val="18"/>
              </w:rPr>
              <w:t xml:space="preserve"> – Use has been associated with serious cardiovascular events including sudden death in patients with preexisting structural cardiac abnormalities or other serious heart problems. Avoid use in patients with known serious structural cardiac abnormalities, cardiomyopathy, serious heart rhythm abnormalities. Patients should be carefully evaluated for cardiac disease prior to initiation of therapy. Monitor for symptoms of exertional chest pain, unexplained syncope, or other symptoms suggestive of cardiac disease during treatment.</w:t>
            </w:r>
          </w:p>
          <w:p w14:paraId="2DFA20C1" w14:textId="77777777" w:rsidR="00A874C3" w:rsidRDefault="00A874C3" w:rsidP="00A874C3">
            <w:pPr>
              <w:rPr>
                <w:rFonts w:ascii="Arial" w:hAnsi="Arial"/>
                <w:noProof/>
                <w:sz w:val="18"/>
              </w:rPr>
            </w:pPr>
          </w:p>
          <w:p w14:paraId="6FC75D09" w14:textId="77777777" w:rsidR="00A874C3" w:rsidRDefault="00A874C3" w:rsidP="00A874C3">
            <w:pPr>
              <w:rPr>
                <w:rFonts w:ascii="Arial" w:hAnsi="Arial"/>
                <w:noProof/>
                <w:sz w:val="18"/>
              </w:rPr>
            </w:pPr>
            <w:r>
              <w:rPr>
                <w:rFonts w:ascii="Arial" w:hAnsi="Arial"/>
                <w:b/>
                <w:noProof/>
                <w:sz w:val="18"/>
              </w:rPr>
              <w:t>Priapism</w:t>
            </w:r>
            <w:r>
              <w:rPr>
                <w:rFonts w:ascii="Arial" w:hAnsi="Arial"/>
                <w:noProof/>
                <w:sz w:val="18"/>
              </w:rPr>
              <w:t xml:space="preserve"> – Prolonged and painful erections have been reported (rarely) with methylphenidate and atomoxetine use in pediatric and adult patients.</w:t>
            </w:r>
          </w:p>
          <w:p w14:paraId="4E4902B4" w14:textId="77777777" w:rsidR="00A874C3" w:rsidRDefault="00A874C3" w:rsidP="00A874C3">
            <w:pPr>
              <w:rPr>
                <w:b/>
              </w:rPr>
            </w:pPr>
          </w:p>
        </w:tc>
      </w:tr>
      <w:tr w:rsidR="003379BD" w14:paraId="0E2603E2" w14:textId="77777777" w:rsidTr="008768D6">
        <w:trPr>
          <w:trHeight w:hRule="exact" w:val="288"/>
        </w:trPr>
        <w:tc>
          <w:tcPr>
            <w:tcW w:w="11448" w:type="dxa"/>
            <w:gridSpan w:val="2"/>
            <w:tcBorders>
              <w:top w:val="nil"/>
              <w:left w:val="nil"/>
              <w:bottom w:val="single" w:sz="4" w:space="0" w:color="auto"/>
              <w:right w:val="nil"/>
            </w:tcBorders>
            <w:vAlign w:val="bottom"/>
          </w:tcPr>
          <w:p w14:paraId="3C5E711C" w14:textId="685A69A6" w:rsidR="003379BD" w:rsidRDefault="003379BD" w:rsidP="005325D4">
            <w:pPr>
              <w:rPr>
                <w:rFonts w:ascii="Arial" w:hAnsi="Arial"/>
                <w:sz w:val="18"/>
              </w:rPr>
            </w:pPr>
            <w:r>
              <w:rPr>
                <w:rFonts w:ascii="Arial" w:hAnsi="Arial"/>
                <w:sz w:val="18"/>
              </w:rPr>
              <w:t xml:space="preserve">See </w:t>
            </w:r>
            <w:r w:rsidR="006B1BAD">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44880DA3" w14:textId="77777777">
        <w:trPr>
          <w:cantSplit/>
        </w:trPr>
        <w:tc>
          <w:tcPr>
            <w:tcW w:w="11448" w:type="dxa"/>
            <w:gridSpan w:val="2"/>
            <w:tcBorders>
              <w:top w:val="nil"/>
              <w:left w:val="nil"/>
              <w:bottom w:val="nil"/>
              <w:right w:val="nil"/>
            </w:tcBorders>
          </w:tcPr>
          <w:p w14:paraId="636FBE3B"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50E1C210"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7FDEB77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1E31B11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73639D3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4F941DD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04A153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351D348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C74EC7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C9FABA0" w14:textId="77777777" w:rsidR="003379BD" w:rsidRDefault="003379BD">
            <w:pPr>
              <w:tabs>
                <w:tab w:val="left" w:pos="360"/>
                <w:tab w:val="left" w:pos="630"/>
              </w:tabs>
              <w:rPr>
                <w:rFonts w:ascii="Arial" w:hAnsi="Arial"/>
                <w:sz w:val="10"/>
              </w:rPr>
            </w:pPr>
          </w:p>
        </w:tc>
      </w:tr>
    </w:tbl>
    <w:p w14:paraId="32801170"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36ADAFF" w14:textId="77777777" w:rsidTr="0021563E">
        <w:trPr>
          <w:cantSplit/>
        </w:trPr>
        <w:tc>
          <w:tcPr>
            <w:tcW w:w="9918" w:type="dxa"/>
            <w:gridSpan w:val="5"/>
            <w:tcBorders>
              <w:top w:val="nil"/>
              <w:left w:val="nil"/>
              <w:bottom w:val="nil"/>
              <w:right w:val="nil"/>
            </w:tcBorders>
          </w:tcPr>
          <w:p w14:paraId="7629CCC0"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3CA0E480" w14:textId="77777777" w:rsidR="003379BD" w:rsidRDefault="005325D4" w:rsidP="0021563E">
            <w:pPr>
              <w:ind w:left="-18"/>
              <w:rPr>
                <w:rFonts w:ascii="Arial" w:hAnsi="Arial"/>
                <w:b/>
                <w:sz w:val="18"/>
              </w:rPr>
            </w:pPr>
            <w:r>
              <w:rPr>
                <w:rFonts w:ascii="Arial" w:hAnsi="Arial"/>
                <w:b/>
                <w:sz w:val="18"/>
              </w:rPr>
              <w:t>DATE SIGNED</w:t>
            </w:r>
          </w:p>
        </w:tc>
      </w:tr>
      <w:tr w:rsidR="003379BD" w14:paraId="440B213B"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560099B"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405D5627"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7BEDDA6"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504A0E15" w14:textId="77777777" w:rsidR="003379BD" w:rsidRDefault="003379BD">
            <w:pPr>
              <w:rPr>
                <w:rFonts w:ascii="Arial" w:hAnsi="Arial"/>
                <w:sz w:val="18"/>
              </w:rPr>
            </w:pPr>
          </w:p>
        </w:tc>
      </w:tr>
      <w:tr w:rsidR="003379BD" w14:paraId="5EADF26A"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A06B9F5"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6F18F0ED"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2ADF96EE" w14:textId="77777777" w:rsidR="003379BD" w:rsidRDefault="003379BD">
            <w:pPr>
              <w:rPr>
                <w:rFonts w:ascii="Arial" w:hAnsi="Arial"/>
                <w:sz w:val="18"/>
              </w:rPr>
            </w:pPr>
          </w:p>
        </w:tc>
      </w:tr>
      <w:tr w:rsidR="007A6FC3" w14:paraId="0A4A8384" w14:textId="77777777">
        <w:trPr>
          <w:cantSplit/>
          <w:trHeight w:hRule="exact" w:val="864"/>
        </w:trPr>
        <w:tc>
          <w:tcPr>
            <w:tcW w:w="11448" w:type="dxa"/>
            <w:gridSpan w:val="6"/>
            <w:tcBorders>
              <w:top w:val="single" w:sz="4" w:space="0" w:color="auto"/>
              <w:left w:val="nil"/>
              <w:bottom w:val="single" w:sz="4" w:space="0" w:color="auto"/>
              <w:right w:val="nil"/>
            </w:tcBorders>
          </w:tcPr>
          <w:p w14:paraId="5239B110"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1A3ED056"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7A4041E"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D81B105"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6CB3A1F"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1F6583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370ED1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3E44C1A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6EC6213F"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472805">
              <w:rPr>
                <w:rFonts w:ascii="Arial" w:hAnsi="Arial"/>
                <w:sz w:val="18"/>
              </w:rPr>
            </w:r>
            <w:r w:rsidR="0047280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0B0618EF"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2A2DFDE"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5D730FB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22F48BC"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03F74AFD"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8DF5" w14:textId="77777777" w:rsidR="00BF62C6" w:rsidRDefault="00BF62C6" w:rsidP="007A6FC3">
      <w:r>
        <w:separator/>
      </w:r>
    </w:p>
  </w:endnote>
  <w:endnote w:type="continuationSeparator" w:id="0">
    <w:p w14:paraId="6C5447A6" w14:textId="77777777" w:rsidR="00BF62C6" w:rsidRDefault="00BF62C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0B8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32292"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5E4"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0896C1"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7207292" w14:textId="77777777" w:rsidTr="00CC7A80">
      <w:tc>
        <w:tcPr>
          <w:tcW w:w="1932" w:type="dxa"/>
          <w:shd w:val="clear" w:color="auto" w:fill="auto"/>
        </w:tcPr>
        <w:p w14:paraId="7BC68EE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B64B798"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1E3F1F3"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0C5C5CE"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E42311A"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C626DF1" w14:textId="77777777" w:rsidR="0018307F" w:rsidRPr="00CC7A80" w:rsidRDefault="0018307F" w:rsidP="00CC7A80">
          <w:pPr>
            <w:pStyle w:val="Footer"/>
            <w:jc w:val="right"/>
            <w:rPr>
              <w:rFonts w:ascii="Arial" w:hAnsi="Arial" w:cs="Arial"/>
              <w:sz w:val="18"/>
              <w:szCs w:val="18"/>
            </w:rPr>
          </w:pPr>
        </w:p>
      </w:tc>
    </w:tr>
  </w:tbl>
  <w:p w14:paraId="02D8117A" w14:textId="77777777" w:rsidR="0018307F" w:rsidRDefault="0018307F" w:rsidP="0021563E">
    <w:pPr>
      <w:pStyle w:val="Footer"/>
      <w:jc w:val="right"/>
    </w:pPr>
  </w:p>
  <w:p w14:paraId="36231EE8"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AE7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249">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3B500B05" w14:textId="77777777" w:rsidTr="00CC7A80">
      <w:tc>
        <w:tcPr>
          <w:tcW w:w="1932" w:type="dxa"/>
          <w:shd w:val="clear" w:color="auto" w:fill="auto"/>
        </w:tcPr>
        <w:p w14:paraId="5CF9851D"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B74A0F8"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4503876"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492F623"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4F96C8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FC4C895" w14:textId="77777777" w:rsidR="0018307F" w:rsidRPr="00CC7A80" w:rsidRDefault="0018307F" w:rsidP="00CC7A80">
          <w:pPr>
            <w:pStyle w:val="Footer"/>
            <w:jc w:val="right"/>
            <w:rPr>
              <w:rFonts w:ascii="Arial" w:hAnsi="Arial" w:cs="Arial"/>
              <w:sz w:val="18"/>
              <w:szCs w:val="18"/>
            </w:rPr>
          </w:pPr>
        </w:p>
      </w:tc>
    </w:tr>
  </w:tbl>
  <w:p w14:paraId="08C38148"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8E4C" w14:textId="77777777" w:rsidR="00BF62C6" w:rsidRDefault="00BF62C6" w:rsidP="007A6FC3">
      <w:r>
        <w:separator/>
      </w:r>
    </w:p>
  </w:footnote>
  <w:footnote w:type="continuationSeparator" w:id="0">
    <w:p w14:paraId="6701F8D8" w14:textId="77777777" w:rsidR="00BF62C6" w:rsidRDefault="00BF62C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766879163">
    <w:abstractNumId w:val="1"/>
  </w:num>
  <w:num w:numId="2" w16cid:durableId="1000963970">
    <w:abstractNumId w:val="3"/>
  </w:num>
  <w:num w:numId="3" w16cid:durableId="748962413">
    <w:abstractNumId w:val="2"/>
  </w:num>
  <w:num w:numId="4" w16cid:durableId="158330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Vz4H2aVun0EFJbAnlSMVQsVzFxlmyhjN5UrDVkC/8xedTAkc8asqRV293Hjd79CW8UP6MY/oaWQGZLJlUHqQ==" w:salt="CTnggz2ejK4SpXtkDl5nP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5249"/>
    <w:rsid w:val="00017A46"/>
    <w:rsid w:val="00020388"/>
    <w:rsid w:val="00031FEC"/>
    <w:rsid w:val="00057F83"/>
    <w:rsid w:val="00065117"/>
    <w:rsid w:val="000755E2"/>
    <w:rsid w:val="00082C72"/>
    <w:rsid w:val="00097390"/>
    <w:rsid w:val="000E25AD"/>
    <w:rsid w:val="00101422"/>
    <w:rsid w:val="0018307F"/>
    <w:rsid w:val="001B5568"/>
    <w:rsid w:val="001D3AAB"/>
    <w:rsid w:val="0021563E"/>
    <w:rsid w:val="00295B89"/>
    <w:rsid w:val="00311731"/>
    <w:rsid w:val="0031599E"/>
    <w:rsid w:val="003379BD"/>
    <w:rsid w:val="003A15FD"/>
    <w:rsid w:val="003B2EF9"/>
    <w:rsid w:val="003B70D9"/>
    <w:rsid w:val="003D1746"/>
    <w:rsid w:val="003D356D"/>
    <w:rsid w:val="003E29B2"/>
    <w:rsid w:val="00453B38"/>
    <w:rsid w:val="004553BF"/>
    <w:rsid w:val="00464819"/>
    <w:rsid w:val="0047002C"/>
    <w:rsid w:val="00472805"/>
    <w:rsid w:val="004B0216"/>
    <w:rsid w:val="004D379B"/>
    <w:rsid w:val="005325D4"/>
    <w:rsid w:val="005508EB"/>
    <w:rsid w:val="0056414C"/>
    <w:rsid w:val="00573C55"/>
    <w:rsid w:val="0059662D"/>
    <w:rsid w:val="005A70E2"/>
    <w:rsid w:val="005C03B7"/>
    <w:rsid w:val="005D0FB5"/>
    <w:rsid w:val="00606B81"/>
    <w:rsid w:val="00621771"/>
    <w:rsid w:val="00622264"/>
    <w:rsid w:val="006231FA"/>
    <w:rsid w:val="00644115"/>
    <w:rsid w:val="0064565E"/>
    <w:rsid w:val="00653309"/>
    <w:rsid w:val="00683097"/>
    <w:rsid w:val="006B1BAD"/>
    <w:rsid w:val="006B7A42"/>
    <w:rsid w:val="00742D3E"/>
    <w:rsid w:val="007579FC"/>
    <w:rsid w:val="00775C94"/>
    <w:rsid w:val="007A6FC3"/>
    <w:rsid w:val="007B70D7"/>
    <w:rsid w:val="007F44C1"/>
    <w:rsid w:val="008768D6"/>
    <w:rsid w:val="008D1C36"/>
    <w:rsid w:val="00916D82"/>
    <w:rsid w:val="00927055"/>
    <w:rsid w:val="00934FD5"/>
    <w:rsid w:val="009B59D3"/>
    <w:rsid w:val="00A22DDB"/>
    <w:rsid w:val="00A60207"/>
    <w:rsid w:val="00A874C3"/>
    <w:rsid w:val="00AA7ED4"/>
    <w:rsid w:val="00AB1650"/>
    <w:rsid w:val="00AD441D"/>
    <w:rsid w:val="00B1786E"/>
    <w:rsid w:val="00B24943"/>
    <w:rsid w:val="00B3591C"/>
    <w:rsid w:val="00B47C64"/>
    <w:rsid w:val="00B64324"/>
    <w:rsid w:val="00B82162"/>
    <w:rsid w:val="00B83999"/>
    <w:rsid w:val="00BF62C6"/>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690CBB"/>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8952</Characters>
  <Application>Microsoft Office Word</Application>
  <DocSecurity>0</DocSecurity>
  <Lines>182</Lines>
  <Paragraphs>131</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Smith, Hilary J - DHS</cp:lastModifiedBy>
  <cp:revision>3</cp:revision>
  <cp:lastPrinted>2008-02-05T17:04:00Z</cp:lastPrinted>
  <dcterms:created xsi:type="dcterms:W3CDTF">2024-05-06T16:17:00Z</dcterms:created>
  <dcterms:modified xsi:type="dcterms:W3CDTF">2024-05-06T16:17:00Z</dcterms:modified>
</cp:coreProperties>
</file>