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0546F3F0"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61892A72"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BB5F23" w:rsidRPr="00BB5F23">
              <w:rPr>
                <w:noProof/>
                <w:sz w:val="22"/>
              </w:rPr>
              <w:t>Benzoquinolizine</w:t>
            </w:r>
            <w:r w:rsidR="00BB5F23">
              <w:rPr>
                <w:noProof/>
                <w:sz w:val="22"/>
              </w:rPr>
              <w:t xml:space="preserve">- </w:t>
            </w:r>
            <w:r w:rsidR="00A117FD">
              <w:rPr>
                <w:noProof/>
                <w:sz w:val="22"/>
              </w:rPr>
              <w:t>c</w:t>
            </w:r>
            <w:r w:rsidR="00BB5F23" w:rsidRPr="00BB5F23">
              <w:rPr>
                <w:noProof/>
                <w:sz w:val="22"/>
              </w:rPr>
              <w:t xml:space="preserve">entral </w:t>
            </w:r>
            <w:r w:rsidR="00A117FD">
              <w:rPr>
                <w:noProof/>
                <w:sz w:val="22"/>
              </w:rPr>
              <w:t>n</w:t>
            </w:r>
            <w:r w:rsidR="00BB5F23" w:rsidRPr="00BB5F23">
              <w:rPr>
                <w:noProof/>
                <w:sz w:val="22"/>
              </w:rPr>
              <w:t xml:space="preserve">ervous </w:t>
            </w:r>
            <w:r w:rsidR="00A117FD">
              <w:rPr>
                <w:noProof/>
                <w:sz w:val="22"/>
              </w:rPr>
              <w:t>s</w:t>
            </w:r>
            <w:r w:rsidR="00BB5F23" w:rsidRPr="00BB5F23">
              <w:rPr>
                <w:noProof/>
                <w:sz w:val="22"/>
              </w:rPr>
              <w:t xml:space="preserve">ystem </w:t>
            </w:r>
            <w:r w:rsidR="00A117FD">
              <w:rPr>
                <w:noProof/>
                <w:sz w:val="22"/>
              </w:rPr>
              <w:t>a</w:t>
            </w:r>
            <w:r w:rsidR="00BB5F23" w:rsidRPr="00BB5F23">
              <w:rPr>
                <w:noProof/>
                <w:sz w:val="22"/>
              </w:rPr>
              <w:t xml:space="preserve">gent </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5C1D3A83"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510106">
              <w:rPr>
                <w:sz w:val="22"/>
              </w:rPr>
              <w:t>Xenazine</w:t>
            </w:r>
            <w:r w:rsidR="00242B9D" w:rsidRPr="00242B9D">
              <w:rPr>
                <w:noProof/>
                <w:sz w:val="22"/>
              </w:rPr>
              <w:t>®</w:t>
            </w:r>
            <w:r>
              <w:rPr>
                <w:sz w:val="22"/>
              </w:rPr>
              <w:fldChar w:fldCharType="end"/>
            </w:r>
            <w:bookmarkEnd w:id="8"/>
          </w:p>
          <w:p w14:paraId="7A26C4B6" w14:textId="6B42132D"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242B9D">
              <w:rPr>
                <w:sz w:val="22"/>
              </w:rPr>
              <w:t>t</w:t>
            </w:r>
            <w:r w:rsidR="00BB5F23">
              <w:rPr>
                <w:noProof/>
                <w:sz w:val="22"/>
              </w:rPr>
              <w:t>etrabenazine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0A41D138"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BB5F23">
              <w:rPr>
                <w:noProof/>
                <w:sz w:val="22"/>
              </w:rPr>
              <w:t>12.5</w:t>
            </w:r>
            <w:r w:rsidR="00242B9D">
              <w:rPr>
                <w:noProof/>
                <w:sz w:val="22"/>
              </w:rPr>
              <w:t xml:space="preserve"> </w:t>
            </w:r>
            <w:r w:rsidR="00BB5F23">
              <w:rPr>
                <w:noProof/>
                <w:sz w:val="22"/>
              </w:rPr>
              <w:t>mg - 50</w:t>
            </w:r>
            <w:r w:rsidR="00242B9D">
              <w:rPr>
                <w:noProof/>
                <w:sz w:val="22"/>
              </w:rPr>
              <w:t xml:space="preserve"> </w:t>
            </w:r>
            <w:r w:rsidR="00BB5F23">
              <w:rPr>
                <w:noProof/>
                <w:sz w:val="22"/>
              </w:rPr>
              <w:t>mg/day</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4A9462D3"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BB5F23">
              <w:rPr>
                <w:sz w:val="22"/>
              </w:rPr>
              <w:t> </w:t>
            </w:r>
            <w:r w:rsidR="00BB5F23">
              <w:rPr>
                <w:sz w:val="22"/>
              </w:rPr>
              <w:t> </w:t>
            </w:r>
            <w:r w:rsidR="00BB5F23">
              <w:rPr>
                <w:sz w:val="22"/>
              </w:rPr>
              <w:t> </w:t>
            </w:r>
            <w:r w:rsidR="00BB5F23">
              <w:rPr>
                <w:sz w:val="22"/>
              </w:rPr>
              <w:t> </w:t>
            </w:r>
            <w:r w:rsidR="00BB5F23">
              <w:rPr>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6141C130"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D40F9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D40F9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ed w:val="0"/>
                  </w:checkBox>
                </w:ffData>
              </w:fldChar>
            </w:r>
            <w:r>
              <w:instrText xml:space="preserve"> FORMCHECKBOX </w:instrText>
            </w:r>
            <w:r w:rsidR="00D40F95">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D40F95">
              <w:rPr>
                <w:b w:val="0"/>
              </w:rPr>
            </w:r>
            <w:r w:rsidR="00D40F95">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D40F95">
              <w:rPr>
                <w:b w:val="0"/>
              </w:rPr>
            </w:r>
            <w:r w:rsidR="00D40F95">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D40F95">
              <w:rPr>
                <w:b w:val="0"/>
              </w:rPr>
            </w:r>
            <w:r w:rsidR="00D40F95">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D40F95">
              <w:rPr>
                <w:b w:val="0"/>
              </w:rPr>
            </w:r>
            <w:r w:rsidR="00D40F95">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D40F95">
              <w:rPr>
                <w:b w:val="0"/>
              </w:rPr>
            </w:r>
            <w:r w:rsidR="00D40F95">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D40F95">
              <w:rPr>
                <w:b w:val="0"/>
              </w:rPr>
            </w:r>
            <w:r w:rsidR="00D40F95">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D40F95">
              <w:rPr>
                <w:b w:val="0"/>
              </w:rPr>
            </w:r>
            <w:r w:rsidR="00D40F95">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D40F95">
              <w:rPr>
                <w:b w:val="0"/>
              </w:rPr>
            </w:r>
            <w:r w:rsidR="00D40F95">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D40F95">
              <w:rPr>
                <w:b w:val="0"/>
              </w:rPr>
            </w:r>
            <w:r w:rsidR="00D40F95">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D40F95">
              <w:rPr>
                <w:b w:val="0"/>
              </w:rPr>
            </w:r>
            <w:r w:rsidR="00D40F95">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2223B1E5"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242B9D" w:rsidRPr="00242B9D">
              <w:rPr>
                <w:noProof/>
                <w:sz w:val="22"/>
              </w:rPr>
              <w:t>Nitoman®</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E754A8" w:rsidRPr="00E754A8">
              <w:rPr>
                <w:noProof/>
                <w:sz w:val="22"/>
              </w:rPr>
              <w:t xml:space="preserve">Tetrabenazine </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2FAE1DB8" w:rsidR="0021563E" w:rsidRPr="0056414C" w:rsidRDefault="003379BD" w:rsidP="006A6CDD">
            <w:pPr>
              <w:pStyle w:val="Heading6"/>
              <w:rPr>
                <w:rFonts w:ascii="Times New Roman" w:hAnsi="Times New Roman"/>
                <w:b w:val="0"/>
              </w:rPr>
            </w:pPr>
            <w:r w:rsidRPr="0056414C">
              <w:rPr>
                <w:sz w:val="18"/>
                <w:szCs w:val="18"/>
              </w:rPr>
              <w:t>Most Common Side Effects</w:t>
            </w:r>
            <w:r w:rsidR="00BF4FBD">
              <w:rPr>
                <w:sz w:val="18"/>
                <w:szCs w:val="18"/>
              </w:rPr>
              <w:t xml:space="preserve">: </w:t>
            </w:r>
            <w:r w:rsidR="00BF4FBD">
              <w:rPr>
                <w:b w:val="0"/>
                <w:bCs/>
                <w:sz w:val="18"/>
                <w:szCs w:val="18"/>
              </w:rPr>
              <w:t>N</w:t>
            </w:r>
            <w:r w:rsidR="00BF4FBD" w:rsidRPr="00BF4FBD">
              <w:rPr>
                <w:b w:val="0"/>
                <w:bCs/>
                <w:sz w:val="18"/>
                <w:szCs w:val="18"/>
              </w:rPr>
              <w:t>ausea, insomnia, anxiety, depression, fatigue, dysphagia, akathisia, parkinsonism, depression, upper respiratory infection, falls</w:t>
            </w:r>
            <w:r w:rsidR="00BF4FBD" w:rsidRPr="00BF4FBD">
              <w:rPr>
                <w:sz w:val="18"/>
                <w:szCs w:val="18"/>
              </w:rPr>
              <w:t xml:space="preserve"> </w:t>
            </w:r>
          </w:p>
        </w:tc>
      </w:tr>
      <w:tr w:rsidR="003379BD" w14:paraId="15326E25" w14:textId="77777777" w:rsidTr="00683097">
        <w:trPr>
          <w:cantSplit/>
          <w:trHeight w:val="576"/>
        </w:trPr>
        <w:tc>
          <w:tcPr>
            <w:tcW w:w="11448" w:type="dxa"/>
            <w:gridSpan w:val="2"/>
            <w:tcBorders>
              <w:top w:val="nil"/>
              <w:left w:val="nil"/>
              <w:bottom w:val="nil"/>
              <w:right w:val="nil"/>
            </w:tcBorders>
          </w:tcPr>
          <w:p w14:paraId="58BDAB19" w14:textId="77777777" w:rsidR="003379BD" w:rsidRDefault="003379BD" w:rsidP="00E305ED">
            <w:pPr>
              <w:rPr>
                <w:rFonts w:ascii="Arial" w:hAnsi="Arial"/>
                <w:bCs/>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E305ED">
              <w:rPr>
                <w:rFonts w:ascii="Arial" w:hAnsi="Arial"/>
                <w:b/>
                <w:snapToGrid w:val="0"/>
                <w:color w:val="000000"/>
                <w:sz w:val="18"/>
              </w:rPr>
              <w:t xml:space="preserve">: </w:t>
            </w:r>
            <w:r w:rsidR="00E305ED">
              <w:rPr>
                <w:rFonts w:ascii="Arial" w:hAnsi="Arial"/>
                <w:bCs/>
                <w:snapToGrid w:val="0"/>
                <w:color w:val="000000"/>
                <w:sz w:val="18"/>
              </w:rPr>
              <w:t>S</w:t>
            </w:r>
            <w:r w:rsidR="00E305ED" w:rsidRPr="00E305ED">
              <w:rPr>
                <w:rFonts w:ascii="Arial" w:hAnsi="Arial"/>
                <w:bCs/>
                <w:snapToGrid w:val="0"/>
                <w:color w:val="000000"/>
                <w:sz w:val="18"/>
              </w:rPr>
              <w:t xml:space="preserve">uicidal thoughts, decrease in appetite, vomiting, ecchymosis, dizziness, dysarthria, headache, impairment of balance, sedation, somnolence, tardive dyskinesia, unsteady when walking, agitation, impaired cognition, irritability, obsessive behavior, restlessness, suicidal thoughts and behavior, dysuria, bronchitis, dyspnea, </w:t>
            </w:r>
            <w:proofErr w:type="gramStart"/>
            <w:r w:rsidR="00E305ED" w:rsidRPr="00E305ED">
              <w:rPr>
                <w:rFonts w:ascii="Arial" w:hAnsi="Arial"/>
                <w:bCs/>
                <w:snapToGrid w:val="0"/>
                <w:color w:val="000000"/>
                <w:sz w:val="18"/>
              </w:rPr>
              <w:t>pneumonia</w:t>
            </w:r>
            <w:proofErr w:type="gramEnd"/>
          </w:p>
          <w:p w14:paraId="1BCFFD3B" w14:textId="259BDE23" w:rsidR="00E305ED" w:rsidRDefault="00E305ED" w:rsidP="00E305ED">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7777777" w:rsidR="003379BD" w:rsidRDefault="003379BD" w:rsidP="006A6CDD">
            <w:pPr>
              <w:rPr>
                <w:b/>
              </w:rPr>
            </w:pPr>
            <w:r>
              <w:rPr>
                <w:rFonts w:ascii="Arial" w:hAnsi="Arial"/>
                <w:b/>
                <w:sz w:val="18"/>
              </w:rPr>
              <w:t>Rare Side Effects</w:t>
            </w:r>
            <w:r>
              <w:t xml:space="preserve">  </w:t>
            </w:r>
            <w:r w:rsidR="006A6CDD">
              <w:fldChar w:fldCharType="begin">
                <w:ffData>
                  <w:name w:val=""/>
                  <w:enabled/>
                  <w:calcOnExit w:val="0"/>
                  <w:statusText w:type="text" w:val="List the most common side effects of medication limit 200 characters"/>
                  <w:textInput/>
                </w:ffData>
              </w:fldChar>
            </w:r>
            <w:r w:rsidR="006A6CDD">
              <w:instrText xml:space="preserve"> FORMTEXT </w:instrText>
            </w:r>
            <w:r w:rsidR="006A6CDD">
              <w:fldChar w:fldCharType="separate"/>
            </w:r>
            <w:r w:rsidR="006A6CDD">
              <w:rPr>
                <w:noProof/>
              </w:rPr>
              <w:t> </w:t>
            </w:r>
            <w:r w:rsidR="006A6CDD">
              <w:rPr>
                <w:noProof/>
              </w:rPr>
              <w:t> </w:t>
            </w:r>
            <w:r w:rsidR="006A6CDD">
              <w:rPr>
                <w:noProof/>
              </w:rPr>
              <w:t> </w:t>
            </w:r>
            <w:r w:rsidR="006A6CDD">
              <w:rPr>
                <w:noProof/>
              </w:rPr>
              <w:t> </w:t>
            </w:r>
            <w:r w:rsidR="006A6CDD">
              <w:rPr>
                <w:noProof/>
              </w:rPr>
              <w:t> </w:t>
            </w:r>
            <w:r w:rsidR="006A6CDD">
              <w:fldChar w:fldCharType="end"/>
            </w:r>
          </w:p>
        </w:tc>
      </w:tr>
      <w:tr w:rsidR="003379BD" w14:paraId="0666E783" w14:textId="77777777" w:rsidTr="00683097">
        <w:trPr>
          <w:cantSplit/>
          <w:trHeight w:val="576"/>
        </w:trPr>
        <w:tc>
          <w:tcPr>
            <w:tcW w:w="11448" w:type="dxa"/>
            <w:gridSpan w:val="2"/>
            <w:tcBorders>
              <w:top w:val="nil"/>
              <w:left w:val="nil"/>
              <w:bottom w:val="nil"/>
              <w:right w:val="nil"/>
            </w:tcBorders>
          </w:tcPr>
          <w:p w14:paraId="0E0F5B8C" w14:textId="77777777" w:rsidR="00E305ED" w:rsidRDefault="003379BD" w:rsidP="00E754A8">
            <w:pPr>
              <w:rPr>
                <w:rFonts w:ascii="Arial" w:hAnsi="Arial"/>
                <w:b/>
                <w:snapToGrid w:val="0"/>
                <w:color w:val="000000"/>
                <w:sz w:val="18"/>
              </w:rPr>
            </w:pPr>
            <w:r>
              <w:rPr>
                <w:rFonts w:ascii="Arial" w:hAnsi="Arial"/>
                <w:b/>
                <w:snapToGrid w:val="0"/>
                <w:color w:val="000000"/>
                <w:sz w:val="18"/>
              </w:rPr>
              <w:t>Caution</w:t>
            </w:r>
            <w:r w:rsidR="00E305ED">
              <w:rPr>
                <w:rFonts w:ascii="Arial" w:hAnsi="Arial"/>
                <w:b/>
                <w:snapToGrid w:val="0"/>
                <w:color w:val="000000"/>
                <w:sz w:val="18"/>
              </w:rPr>
              <w:t xml:space="preserve">: </w:t>
            </w:r>
          </w:p>
          <w:p w14:paraId="41536F6F" w14:textId="77777777" w:rsidR="00E305ED" w:rsidRPr="00E305ED" w:rsidRDefault="00E305ED" w:rsidP="00E305ED">
            <w:pPr>
              <w:rPr>
                <w:rFonts w:ascii="Arial" w:hAnsi="Arial"/>
                <w:bCs/>
                <w:snapToGrid w:val="0"/>
                <w:color w:val="000000"/>
                <w:sz w:val="18"/>
              </w:rPr>
            </w:pPr>
            <w:r w:rsidRPr="00E305ED">
              <w:rPr>
                <w:rFonts w:ascii="Arial" w:hAnsi="Arial"/>
                <w:bCs/>
                <w:snapToGrid w:val="0"/>
                <w:color w:val="000000"/>
                <w:sz w:val="18"/>
              </w:rPr>
              <w:t xml:space="preserve">Precautions: </w:t>
            </w:r>
          </w:p>
          <w:p w14:paraId="38E6D2FC" w14:textId="588F69E0"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Cardiovascular</w:t>
            </w:r>
            <w:r>
              <w:rPr>
                <w:rFonts w:ascii="Arial" w:hAnsi="Arial"/>
                <w:bCs/>
                <w:snapToGrid w:val="0"/>
                <w:color w:val="000000"/>
                <w:sz w:val="18"/>
              </w:rPr>
              <w:br/>
            </w:r>
            <w:r w:rsidRPr="00E305ED">
              <w:rPr>
                <w:rFonts w:ascii="Arial" w:hAnsi="Arial"/>
                <w:bCs/>
                <w:snapToGrid w:val="0"/>
                <w:color w:val="000000"/>
                <w:sz w:val="18"/>
              </w:rPr>
              <w:t xml:space="preserve">Avoid use in patients with congenital long QT syndrome or with a history of cardiac </w:t>
            </w:r>
            <w:proofErr w:type="gramStart"/>
            <w:r w:rsidRPr="00E305ED">
              <w:rPr>
                <w:rFonts w:ascii="Arial" w:hAnsi="Arial"/>
                <w:bCs/>
                <w:snapToGrid w:val="0"/>
                <w:color w:val="000000"/>
                <w:sz w:val="18"/>
              </w:rPr>
              <w:t>arrhythmias;</w:t>
            </w:r>
            <w:proofErr w:type="gramEnd"/>
            <w:r w:rsidRPr="00E305ED">
              <w:rPr>
                <w:rFonts w:ascii="Arial" w:hAnsi="Arial"/>
                <w:bCs/>
                <w:snapToGrid w:val="0"/>
                <w:color w:val="000000"/>
                <w:sz w:val="18"/>
              </w:rPr>
              <w:t xml:space="preserve"> increased risk of QT prolongation. Bradycardia; may increase the risk of torsade de pointes and/or sudden death. Hypokalemia may increase the risk of torsade de pointes and/or sudden death. Hypomagnesemia may increase the risk of torsade de pointes and/or sudden death. Hypotension has been reported.</w:t>
            </w:r>
          </w:p>
          <w:p w14:paraId="0A38E956" w14:textId="5A78AE2E"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Endocrine</w:t>
            </w:r>
            <w:r>
              <w:rPr>
                <w:rFonts w:ascii="Arial" w:hAnsi="Arial"/>
                <w:bCs/>
                <w:snapToGrid w:val="0"/>
                <w:color w:val="000000"/>
                <w:sz w:val="18"/>
              </w:rPr>
              <w:br/>
            </w:r>
            <w:r w:rsidRPr="00E305ED">
              <w:rPr>
                <w:rFonts w:ascii="Arial" w:hAnsi="Arial"/>
                <w:bCs/>
                <w:snapToGrid w:val="0"/>
                <w:color w:val="000000"/>
                <w:sz w:val="18"/>
              </w:rPr>
              <w:t xml:space="preserve">Hyperprolactinemia may occur; monitoring is recommended. </w:t>
            </w:r>
          </w:p>
          <w:p w14:paraId="445C4F46" w14:textId="0E245143"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Gastrointestinal</w:t>
            </w:r>
            <w:r>
              <w:rPr>
                <w:rFonts w:ascii="Arial" w:hAnsi="Arial"/>
                <w:bCs/>
                <w:snapToGrid w:val="0"/>
                <w:color w:val="000000"/>
                <w:sz w:val="18"/>
              </w:rPr>
              <w:br/>
            </w:r>
            <w:r w:rsidRPr="00E305ED">
              <w:rPr>
                <w:rFonts w:ascii="Arial" w:hAnsi="Arial"/>
                <w:bCs/>
                <w:snapToGrid w:val="0"/>
                <w:color w:val="000000"/>
                <w:sz w:val="18"/>
              </w:rPr>
              <w:t xml:space="preserve">Dysphagia has been reported. </w:t>
            </w:r>
          </w:p>
          <w:p w14:paraId="245A11C3" w14:textId="2E76DE4C"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Hepatic</w:t>
            </w:r>
            <w:r>
              <w:rPr>
                <w:rFonts w:ascii="Arial" w:hAnsi="Arial"/>
                <w:bCs/>
                <w:snapToGrid w:val="0"/>
                <w:color w:val="000000"/>
                <w:sz w:val="18"/>
              </w:rPr>
              <w:br/>
            </w:r>
            <w:r w:rsidRPr="00E305ED">
              <w:rPr>
                <w:rFonts w:ascii="Arial" w:hAnsi="Arial"/>
                <w:bCs/>
                <w:snapToGrid w:val="0"/>
                <w:color w:val="000000"/>
                <w:sz w:val="18"/>
              </w:rPr>
              <w:t xml:space="preserve">Use in CYP2D6 poor metabolizers will result in increased drug exposure. CYP2D6 genetic testing should be conducted prior to administering doses greater than 50 mg/day. </w:t>
            </w:r>
          </w:p>
          <w:p w14:paraId="2E683DCF" w14:textId="4D4193AD"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Neurologic</w:t>
            </w:r>
            <w:r>
              <w:rPr>
                <w:rFonts w:ascii="Arial" w:hAnsi="Arial"/>
                <w:bCs/>
                <w:snapToGrid w:val="0"/>
                <w:color w:val="000000"/>
                <w:sz w:val="18"/>
              </w:rPr>
              <w:br/>
            </w:r>
            <w:r w:rsidRPr="00E305ED">
              <w:rPr>
                <w:rFonts w:ascii="Arial" w:hAnsi="Arial"/>
                <w:bCs/>
                <w:snapToGrid w:val="0"/>
                <w:color w:val="000000"/>
                <w:sz w:val="18"/>
              </w:rPr>
              <w:t xml:space="preserve">Neuroleptic Malignant Syndrome, potentially fatal, has been reported; discontinue use immediately if occurs. Sedation and somnolence have been reported. Akathisia and parkinsonism have been reported; dosage adjustment and discontinuation may be necessary. Tardive dyskinesia, potentially irreversible, may develop. </w:t>
            </w:r>
          </w:p>
          <w:p w14:paraId="7017EB1D" w14:textId="76C18398"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Ophthalmic</w:t>
            </w:r>
            <w:r>
              <w:rPr>
                <w:rFonts w:ascii="Arial" w:hAnsi="Arial"/>
                <w:bCs/>
                <w:snapToGrid w:val="0"/>
                <w:color w:val="000000"/>
                <w:sz w:val="18"/>
              </w:rPr>
              <w:br/>
            </w:r>
            <w:r w:rsidRPr="00E305ED">
              <w:rPr>
                <w:rFonts w:ascii="Arial" w:hAnsi="Arial"/>
                <w:bCs/>
                <w:snapToGrid w:val="0"/>
                <w:color w:val="000000"/>
                <w:sz w:val="18"/>
              </w:rPr>
              <w:t xml:space="preserve">Accumulation and toxicity in melanin-containing tissues may occur after extended use. </w:t>
            </w:r>
          </w:p>
          <w:p w14:paraId="60A3AB39" w14:textId="1375961E" w:rsidR="00E305ED" w:rsidRPr="00E305ED" w:rsidRDefault="00E305ED" w:rsidP="00E305ED">
            <w:pPr>
              <w:pStyle w:val="ListParagraph"/>
              <w:numPr>
                <w:ilvl w:val="0"/>
                <w:numId w:val="5"/>
              </w:numPr>
              <w:ind w:left="435"/>
              <w:rPr>
                <w:rFonts w:ascii="Arial" w:hAnsi="Arial"/>
                <w:bCs/>
                <w:snapToGrid w:val="0"/>
                <w:color w:val="000000"/>
                <w:sz w:val="18"/>
              </w:rPr>
            </w:pPr>
            <w:r w:rsidRPr="00E305ED">
              <w:rPr>
                <w:rFonts w:ascii="Arial" w:hAnsi="Arial"/>
                <w:b/>
                <w:snapToGrid w:val="0"/>
                <w:color w:val="000000"/>
                <w:sz w:val="18"/>
              </w:rPr>
              <w:t>Psychiatric</w:t>
            </w:r>
            <w:r>
              <w:rPr>
                <w:rFonts w:ascii="Arial" w:hAnsi="Arial"/>
                <w:bCs/>
                <w:snapToGrid w:val="0"/>
                <w:color w:val="000000"/>
                <w:sz w:val="18"/>
              </w:rPr>
              <w:br/>
            </w:r>
            <w:r w:rsidRPr="00E305ED">
              <w:rPr>
                <w:rFonts w:ascii="Arial" w:hAnsi="Arial"/>
                <w:bCs/>
                <w:snapToGrid w:val="0"/>
                <w:color w:val="000000"/>
                <w:sz w:val="18"/>
              </w:rPr>
              <w:t>Depression and suicide have been reported; monitoring is recommended. Worsening in mood, cognition, rigidity, and functional capacity has been reported; may be due to side effects of medication or disease progression. Use of other drugs that are known to prolong QTc, including antipsychotic medications (e.g., chlorpromazine, thioridazine, ziprasidone), antibiotics (e.g., moxifloxacin), class 1A (e.g., quinidine, procainamide) and class III (e.g., amiodarone, sotalol) antiarrhythmics, or any other medication known to prolong the QTc interval; should be avoided.</w:t>
            </w:r>
          </w:p>
          <w:p w14:paraId="21CE678A" w14:textId="549CA151" w:rsidR="003379BD" w:rsidRDefault="003379BD" w:rsidP="00E305ED">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AA83DB0" w14:textId="77777777" w:rsidR="00140902" w:rsidRDefault="003379BD" w:rsidP="00E305ED">
            <w:pPr>
              <w:rPr>
                <w:rFonts w:ascii="Arial" w:hAnsi="Arial"/>
                <w:b/>
                <w:snapToGrid w:val="0"/>
                <w:color w:val="000000"/>
                <w:sz w:val="18"/>
              </w:rPr>
            </w:pPr>
            <w:r>
              <w:rPr>
                <w:rFonts w:ascii="Arial" w:hAnsi="Arial"/>
                <w:b/>
                <w:snapToGrid w:val="0"/>
                <w:color w:val="000000"/>
                <w:sz w:val="18"/>
              </w:rPr>
              <w:t>Warning</w:t>
            </w:r>
            <w:r w:rsidR="00E305ED">
              <w:rPr>
                <w:rFonts w:ascii="Arial" w:hAnsi="Arial"/>
                <w:b/>
                <w:snapToGrid w:val="0"/>
                <w:color w:val="000000"/>
                <w:sz w:val="18"/>
              </w:rPr>
              <w:t xml:space="preserve">: </w:t>
            </w:r>
            <w:r w:rsidR="00E305ED" w:rsidRPr="00E305ED">
              <w:rPr>
                <w:rFonts w:ascii="Arial" w:hAnsi="Arial"/>
                <w:b/>
                <w:snapToGrid w:val="0"/>
                <w:color w:val="000000"/>
                <w:sz w:val="18"/>
              </w:rPr>
              <w:t xml:space="preserve">Black </w:t>
            </w:r>
            <w:r w:rsidR="00E305ED">
              <w:rPr>
                <w:rFonts w:ascii="Arial" w:hAnsi="Arial"/>
                <w:b/>
                <w:snapToGrid w:val="0"/>
                <w:color w:val="000000"/>
                <w:sz w:val="18"/>
              </w:rPr>
              <w:t>B</w:t>
            </w:r>
            <w:r w:rsidR="00E305ED" w:rsidRPr="00E305ED">
              <w:rPr>
                <w:rFonts w:ascii="Arial" w:hAnsi="Arial"/>
                <w:b/>
                <w:snapToGrid w:val="0"/>
                <w:color w:val="000000"/>
                <w:sz w:val="18"/>
              </w:rPr>
              <w:t xml:space="preserve">ox </w:t>
            </w:r>
            <w:r w:rsidR="00E305ED">
              <w:rPr>
                <w:rFonts w:ascii="Arial" w:hAnsi="Arial"/>
                <w:b/>
                <w:snapToGrid w:val="0"/>
                <w:color w:val="000000"/>
                <w:sz w:val="18"/>
              </w:rPr>
              <w:t>W</w:t>
            </w:r>
            <w:r w:rsidR="00E305ED" w:rsidRPr="00E305ED">
              <w:rPr>
                <w:rFonts w:ascii="Arial" w:hAnsi="Arial"/>
                <w:b/>
                <w:snapToGrid w:val="0"/>
                <w:color w:val="000000"/>
                <w:sz w:val="18"/>
              </w:rPr>
              <w:t>arning: Oral tablets</w:t>
            </w:r>
          </w:p>
          <w:p w14:paraId="4D4B28B6" w14:textId="1521A6E2" w:rsidR="00140902" w:rsidRPr="00140902" w:rsidRDefault="00E305ED" w:rsidP="00140902">
            <w:pPr>
              <w:rPr>
                <w:rFonts w:ascii="Arial" w:hAnsi="Arial"/>
                <w:bCs/>
                <w:snapToGrid w:val="0"/>
                <w:color w:val="000000"/>
                <w:sz w:val="18"/>
              </w:rPr>
            </w:pPr>
            <w:r w:rsidRPr="00140902">
              <w:rPr>
                <w:rFonts w:ascii="Arial" w:hAnsi="Arial"/>
                <w:bCs/>
                <w:snapToGrid w:val="0"/>
                <w:color w:val="000000"/>
                <w:sz w:val="18"/>
              </w:rPr>
              <w:t xml:space="preserve">Suicidal thoughts: Tetrabenazine can increase the risk of depression and suicidal thoughts and behavior (suicidality) in patients with </w:t>
            </w:r>
            <w:r w:rsidR="00140902" w:rsidRPr="00140902">
              <w:rPr>
                <w:rFonts w:ascii="Arial" w:hAnsi="Arial"/>
                <w:bCs/>
                <w:snapToGrid w:val="0"/>
                <w:color w:val="000000"/>
                <w:sz w:val="18"/>
              </w:rPr>
              <w:t>Huntington’s</w:t>
            </w:r>
            <w:r w:rsidRPr="00140902">
              <w:rPr>
                <w:rFonts w:ascii="Arial" w:hAnsi="Arial"/>
                <w:bCs/>
                <w:snapToGrid w:val="0"/>
                <w:color w:val="000000"/>
                <w:sz w:val="18"/>
              </w:rPr>
              <w:t xml:space="preserve"> disease. Anyone considering the use of tetrabenazine must balance the risks of depression and suicidality with the clinical need for control of chorea. Close observation of patients for the emergence or worsening of depression, suicidality, or unusual changes in behavior should accompany therapy. Patients, their caregivers, and families should be informed of the risk of depression and suicidality and should be instructed to report behaviors of concern promptly to the treating physician. </w:t>
            </w:r>
            <w:proofErr w:type="gramStart"/>
            <w:r w:rsidRPr="00140902">
              <w:rPr>
                <w:rFonts w:ascii="Arial" w:hAnsi="Arial"/>
                <w:bCs/>
                <w:snapToGrid w:val="0"/>
                <w:color w:val="000000"/>
                <w:sz w:val="18"/>
              </w:rPr>
              <w:t>Particular caution</w:t>
            </w:r>
            <w:proofErr w:type="gramEnd"/>
            <w:r w:rsidRPr="00140902">
              <w:rPr>
                <w:rFonts w:ascii="Arial" w:hAnsi="Arial"/>
                <w:bCs/>
                <w:snapToGrid w:val="0"/>
                <w:color w:val="000000"/>
                <w:sz w:val="18"/>
              </w:rPr>
              <w:t xml:space="preserve"> should be exercised in treating patients with a history of depression or prior suicide attempts or ideation, which are increased in frequency in Huntington’s disease. Tetrabenazine is contraindicated in patients who are actively suicidal, and in patients with untreated or inadequately treated depression.</w:t>
            </w:r>
          </w:p>
          <w:p w14:paraId="34CC3FEB" w14:textId="0D4CA8A5" w:rsidR="003379BD" w:rsidRDefault="003379BD" w:rsidP="003B6DC6">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762C93D3" w14:textId="77777777" w:rsidR="00140902" w:rsidRPr="00140902" w:rsidRDefault="004553BF" w:rsidP="00140902">
            <w:pPr>
              <w:rPr>
                <w:rFonts w:ascii="Arial" w:hAnsi="Arial"/>
                <w:bCs/>
                <w:snapToGrid w:val="0"/>
                <w:color w:val="000000"/>
                <w:sz w:val="18"/>
              </w:rPr>
            </w:pPr>
            <w:r>
              <w:rPr>
                <w:rFonts w:ascii="Arial" w:hAnsi="Arial"/>
                <w:b/>
                <w:snapToGrid w:val="0"/>
                <w:color w:val="000000"/>
                <w:sz w:val="18"/>
              </w:rPr>
              <w:t>Syndrome Note</w:t>
            </w:r>
            <w:r w:rsidR="00140902">
              <w:rPr>
                <w:rFonts w:ascii="Arial" w:hAnsi="Arial"/>
                <w:b/>
                <w:snapToGrid w:val="0"/>
                <w:color w:val="000000"/>
                <w:sz w:val="18"/>
              </w:rPr>
              <w:t xml:space="preserve">: </w:t>
            </w:r>
            <w:r w:rsidR="00140902" w:rsidRPr="00140902">
              <w:rPr>
                <w:rFonts w:ascii="Arial" w:hAnsi="Arial"/>
                <w:bCs/>
                <w:snapToGrid w:val="0"/>
                <w:color w:val="000000"/>
                <w:sz w:val="18"/>
              </w:rPr>
              <w:t>Neuroleptic malignant syndrome: Clinical signs may include hyperpyrexia, muscle rigidity, altered mental status, autonomic instability, rhabdomyolysis, acute renal failure, myoglobinuria, or increases in creatinine phosphokinase. Untreated or inadequately treated extrapyramidal disorders may present with similar signs or symptoms.</w:t>
            </w:r>
          </w:p>
          <w:p w14:paraId="5AA19370" w14:textId="19BD7925" w:rsidR="0056414C" w:rsidRPr="00916D82" w:rsidRDefault="0056414C" w:rsidP="003B6DC6">
            <w:pPr>
              <w:rPr>
                <w:snapToGrid w:val="0"/>
                <w:color w:val="000000"/>
              </w:rPr>
            </w:pP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D40F95">
              <w:rPr>
                <w:rFonts w:ascii="Arial" w:hAnsi="Arial"/>
                <w:sz w:val="18"/>
              </w:rPr>
            </w:r>
            <w:r w:rsidR="00D40F9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92AD" w14:textId="77777777" w:rsidR="00886993" w:rsidRDefault="00886993" w:rsidP="007A6FC3">
      <w:r>
        <w:separator/>
      </w:r>
    </w:p>
  </w:endnote>
  <w:endnote w:type="continuationSeparator" w:id="0">
    <w:p w14:paraId="2B0A6877" w14:textId="77777777" w:rsidR="00886993" w:rsidRDefault="0088699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06D9" w14:textId="77777777" w:rsidR="00886993" w:rsidRDefault="00886993" w:rsidP="007A6FC3">
      <w:r>
        <w:separator/>
      </w:r>
    </w:p>
  </w:footnote>
  <w:footnote w:type="continuationSeparator" w:id="0">
    <w:p w14:paraId="0F591702" w14:textId="77777777" w:rsidR="00886993" w:rsidRDefault="0088699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C42F5A"/>
    <w:multiLevelType w:val="hybridMultilevel"/>
    <w:tmpl w:val="7E86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4"/>
  </w:num>
  <w:num w:numId="3" w16cid:durableId="1457062504">
    <w:abstractNumId w:val="2"/>
  </w:num>
  <w:num w:numId="4" w16cid:durableId="1742480582">
    <w:abstractNumId w:val="0"/>
  </w:num>
  <w:num w:numId="5" w16cid:durableId="66540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SOvVMxek7Y5g2Nl0JmNaMoM7+MxDs/7DlqKznLMTbPRzgdHC7E4zjG5ueFUkHa6VbkMnEJczG659QtFvN/IA==" w:salt="VmLqzdqjdiwkncVVBH6Kw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40902"/>
    <w:rsid w:val="0018307F"/>
    <w:rsid w:val="0021563E"/>
    <w:rsid w:val="00242B9D"/>
    <w:rsid w:val="00295B89"/>
    <w:rsid w:val="00311731"/>
    <w:rsid w:val="0031599E"/>
    <w:rsid w:val="003379BD"/>
    <w:rsid w:val="003A15FD"/>
    <w:rsid w:val="003B6DC6"/>
    <w:rsid w:val="003B70D9"/>
    <w:rsid w:val="003D356D"/>
    <w:rsid w:val="003E29B2"/>
    <w:rsid w:val="004553BF"/>
    <w:rsid w:val="0047002C"/>
    <w:rsid w:val="004C2872"/>
    <w:rsid w:val="004D379B"/>
    <w:rsid w:val="00510106"/>
    <w:rsid w:val="005325D4"/>
    <w:rsid w:val="00546EF3"/>
    <w:rsid w:val="005508EB"/>
    <w:rsid w:val="0056414C"/>
    <w:rsid w:val="005A70E2"/>
    <w:rsid w:val="005F3D5E"/>
    <w:rsid w:val="00606B81"/>
    <w:rsid w:val="00621771"/>
    <w:rsid w:val="0064565E"/>
    <w:rsid w:val="00653309"/>
    <w:rsid w:val="00683097"/>
    <w:rsid w:val="006A6CDD"/>
    <w:rsid w:val="006B7A42"/>
    <w:rsid w:val="00775C94"/>
    <w:rsid w:val="007A6FC3"/>
    <w:rsid w:val="007F44C1"/>
    <w:rsid w:val="008429FE"/>
    <w:rsid w:val="00886993"/>
    <w:rsid w:val="008E0D37"/>
    <w:rsid w:val="00916D82"/>
    <w:rsid w:val="00927055"/>
    <w:rsid w:val="00934FD5"/>
    <w:rsid w:val="00A05C70"/>
    <w:rsid w:val="00A117FD"/>
    <w:rsid w:val="00A575F6"/>
    <w:rsid w:val="00A60207"/>
    <w:rsid w:val="00AA7ED4"/>
    <w:rsid w:val="00AB1650"/>
    <w:rsid w:val="00B23CEC"/>
    <w:rsid w:val="00B47C64"/>
    <w:rsid w:val="00B82162"/>
    <w:rsid w:val="00B83999"/>
    <w:rsid w:val="00B857CE"/>
    <w:rsid w:val="00BB5F23"/>
    <w:rsid w:val="00BF4FBD"/>
    <w:rsid w:val="00CA71B6"/>
    <w:rsid w:val="00CA7C90"/>
    <w:rsid w:val="00CC7A80"/>
    <w:rsid w:val="00D40F95"/>
    <w:rsid w:val="00DF0FF9"/>
    <w:rsid w:val="00E02750"/>
    <w:rsid w:val="00E305ED"/>
    <w:rsid w:val="00E7205C"/>
    <w:rsid w:val="00E754A8"/>
    <w:rsid w:val="00E90C96"/>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E30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4</cp:revision>
  <cp:lastPrinted>2008-02-05T17:04:00Z</cp:lastPrinted>
  <dcterms:created xsi:type="dcterms:W3CDTF">2024-08-21T14:44:00Z</dcterms:created>
  <dcterms:modified xsi:type="dcterms:W3CDTF">2024-09-09T20:17:00Z</dcterms:modified>
</cp:coreProperties>
</file>