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52124C25"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108FD85B"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1513EB" w:rsidRPr="001513EB">
              <w:rPr>
                <w:noProof/>
                <w:sz w:val="22"/>
              </w:rPr>
              <w:t>Anticonvulsant</w:t>
            </w:r>
            <w:r w:rsidR="001513EB">
              <w:rPr>
                <w:noProof/>
                <w:sz w:val="22"/>
              </w:rPr>
              <w:t xml:space="preserve">/ </w:t>
            </w:r>
            <w:r w:rsidR="007F6763">
              <w:rPr>
                <w:noProof/>
                <w:sz w:val="22"/>
              </w:rPr>
              <w:t>c</w:t>
            </w:r>
            <w:r w:rsidR="001513EB" w:rsidRPr="001513EB">
              <w:rPr>
                <w:noProof/>
                <w:sz w:val="22"/>
              </w:rPr>
              <w:t xml:space="preserve">entral </w:t>
            </w:r>
            <w:r w:rsidR="007F6763">
              <w:rPr>
                <w:noProof/>
                <w:sz w:val="22"/>
              </w:rPr>
              <w:t>n</w:t>
            </w:r>
            <w:r w:rsidR="001513EB" w:rsidRPr="001513EB">
              <w:rPr>
                <w:noProof/>
                <w:sz w:val="22"/>
              </w:rPr>
              <w:t xml:space="preserve">ervous </w:t>
            </w:r>
            <w:r w:rsidR="007F6763">
              <w:rPr>
                <w:noProof/>
                <w:sz w:val="22"/>
              </w:rPr>
              <w:t>s</w:t>
            </w:r>
            <w:r w:rsidR="001513EB" w:rsidRPr="001513EB">
              <w:rPr>
                <w:noProof/>
                <w:sz w:val="22"/>
              </w:rPr>
              <w:t xml:space="preserve">ystem </w:t>
            </w:r>
            <w:r w:rsidR="007F6763">
              <w:rPr>
                <w:noProof/>
                <w:sz w:val="22"/>
              </w:rPr>
              <w:t>a</w:t>
            </w:r>
            <w:r w:rsidR="001513EB" w:rsidRPr="001513EB">
              <w:rPr>
                <w:noProof/>
                <w:sz w:val="22"/>
              </w:rPr>
              <w:t xml:space="preserve">gent </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32E2EDAD"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97066A" w:rsidRPr="0097066A">
              <w:rPr>
                <w:noProof/>
                <w:sz w:val="22"/>
              </w:rPr>
              <w:t xml:space="preserve"> </w:t>
            </w:r>
            <w:r w:rsidR="0097066A">
              <w:rPr>
                <w:noProof/>
                <w:sz w:val="22"/>
              </w:rPr>
              <w:t>Depakene</w:t>
            </w:r>
            <w:r w:rsidR="0097066A" w:rsidRPr="0097066A">
              <w:rPr>
                <w:noProof/>
                <w:sz w:val="22"/>
              </w:rPr>
              <w:t>®</w:t>
            </w:r>
            <w:r>
              <w:rPr>
                <w:sz w:val="22"/>
              </w:rPr>
              <w:fldChar w:fldCharType="end"/>
            </w:r>
            <w:bookmarkEnd w:id="8"/>
          </w:p>
          <w:p w14:paraId="7A26C4B6" w14:textId="19DC861D"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4553F3">
              <w:rPr>
                <w:sz w:val="22"/>
              </w:rPr>
              <w:t>v</w:t>
            </w:r>
            <w:r w:rsidR="00CC3BDD">
              <w:rPr>
                <w:noProof/>
                <w:sz w:val="22"/>
              </w:rPr>
              <w:t>alproic acid</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46C4DC04"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CC3BDD" w:rsidRPr="00CC3BDD">
              <w:rPr>
                <w:noProof/>
                <w:sz w:val="22"/>
              </w:rPr>
              <w:t xml:space="preserve"> Initial, 10 to 15 mg/kg/day</w:t>
            </w:r>
            <w:r w:rsidR="00CC3BDD">
              <w:rPr>
                <w:noProof/>
                <w:sz w:val="22"/>
              </w:rPr>
              <w:t xml:space="preserve"> with a maximum dose of 60</w:t>
            </w:r>
            <w:r w:rsidR="0097066A">
              <w:rPr>
                <w:noProof/>
                <w:sz w:val="22"/>
              </w:rPr>
              <w:t xml:space="preserve"> </w:t>
            </w:r>
            <w:r w:rsidR="00CC3BDD">
              <w:rPr>
                <w:noProof/>
                <w:sz w:val="22"/>
              </w:rPr>
              <w:t>mg/kg/day</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7C4B4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7C4B4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7C4B40">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7C4B40">
              <w:rPr>
                <w:b w:val="0"/>
              </w:rPr>
            </w:r>
            <w:r w:rsidR="007C4B40">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7C4B40">
              <w:rPr>
                <w:b w:val="0"/>
              </w:rPr>
            </w:r>
            <w:r w:rsidR="007C4B40">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7C4B40">
              <w:rPr>
                <w:b w:val="0"/>
              </w:rPr>
            </w:r>
            <w:r w:rsidR="007C4B40">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7C4B40">
              <w:rPr>
                <w:b w:val="0"/>
              </w:rPr>
            </w:r>
            <w:r w:rsidR="007C4B40">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7C4B40">
              <w:rPr>
                <w:b w:val="0"/>
              </w:rPr>
            </w:r>
            <w:r w:rsidR="007C4B40">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7C4B40">
              <w:rPr>
                <w:b w:val="0"/>
              </w:rPr>
            </w:r>
            <w:r w:rsidR="007C4B40">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7C4B40">
              <w:rPr>
                <w:b w:val="0"/>
              </w:rPr>
            </w:r>
            <w:r w:rsidR="007C4B40">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7C4B40">
              <w:rPr>
                <w:b w:val="0"/>
              </w:rPr>
            </w:r>
            <w:r w:rsidR="007C4B40">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7C4B40">
              <w:rPr>
                <w:b w:val="0"/>
              </w:rPr>
            </w:r>
            <w:r w:rsidR="007C4B40">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7C4B40">
              <w:rPr>
                <w:b w:val="0"/>
              </w:rPr>
            </w:r>
            <w:r w:rsidR="007C4B40">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0C3F4C">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A5A0320"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4553F3" w:rsidRPr="004553F3">
              <w:rPr>
                <w:noProof/>
                <w:sz w:val="22"/>
              </w:rPr>
              <w:t>Depakene®</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4553F3">
              <w:rPr>
                <w:sz w:val="22"/>
              </w:rPr>
              <w:t>v</w:t>
            </w:r>
            <w:r w:rsidR="00C65074">
              <w:rPr>
                <w:noProof/>
                <w:sz w:val="22"/>
              </w:rPr>
              <w:t>alproic acid</w:t>
            </w:r>
            <w:r w:rsidR="006A6CDD">
              <w:rPr>
                <w:sz w:val="22"/>
              </w:rPr>
              <w:fldChar w:fldCharType="end"/>
            </w:r>
            <w:r>
              <w:rPr>
                <w:rFonts w:ascii="Arial" w:hAnsi="Arial"/>
                <w:sz w:val="18"/>
              </w:rPr>
              <w:t>)</w:t>
            </w:r>
          </w:p>
        </w:tc>
      </w:tr>
      <w:tr w:rsidR="003379BD" w14:paraId="1DB0D1F8" w14:textId="77777777" w:rsidTr="000C3F4C">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0C3F4C">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0AA90F20" w14:textId="723344EB" w:rsidR="00C80CB2" w:rsidRPr="00C80CB2" w:rsidRDefault="003379BD" w:rsidP="00C80CB2">
            <w:pPr>
              <w:rPr>
                <w:rFonts w:ascii="Arial" w:hAnsi="Arial" w:cs="Arial"/>
                <w:bCs/>
                <w:sz w:val="18"/>
                <w:szCs w:val="18"/>
              </w:rPr>
            </w:pPr>
            <w:r w:rsidRPr="00C80CB2">
              <w:rPr>
                <w:rFonts w:ascii="Arial" w:hAnsi="Arial" w:cs="Arial"/>
                <w:b/>
                <w:bCs/>
                <w:sz w:val="18"/>
                <w:szCs w:val="18"/>
              </w:rPr>
              <w:t>Most Common Side Effects</w:t>
            </w:r>
            <w:r w:rsidR="00C80CB2" w:rsidRPr="00C80CB2">
              <w:rPr>
                <w:rFonts w:ascii="Arial" w:hAnsi="Arial" w:cs="Arial"/>
                <w:b/>
                <w:bCs/>
                <w:sz w:val="18"/>
                <w:szCs w:val="18"/>
              </w:rPr>
              <w:t>:</w:t>
            </w:r>
            <w:r w:rsidR="00C80CB2" w:rsidRPr="00C80CB2">
              <w:rPr>
                <w:rFonts w:ascii="Arial" w:hAnsi="Arial" w:cs="Arial"/>
                <w:sz w:val="18"/>
                <w:szCs w:val="18"/>
              </w:rPr>
              <w:t xml:space="preserve"> </w:t>
            </w:r>
            <w:r w:rsidR="00C80CB2">
              <w:rPr>
                <w:rFonts w:ascii="Arial" w:hAnsi="Arial" w:cs="Arial"/>
                <w:sz w:val="18"/>
                <w:szCs w:val="18"/>
              </w:rPr>
              <w:t>A</w:t>
            </w:r>
            <w:r w:rsidR="00C80CB2" w:rsidRPr="00C80CB2">
              <w:rPr>
                <w:rFonts w:ascii="Arial" w:hAnsi="Arial" w:cs="Arial"/>
                <w:bCs/>
                <w:sz w:val="18"/>
                <w:szCs w:val="18"/>
              </w:rPr>
              <w:t xml:space="preserve">lopecia, increased appetite, weight gain, abdominal pain, diarrhea, indigestion, loss of appetite, nausea, vomiting, asthenia, amnesia, ataxia, dizziness, headache, insomnia, somnolence, tremor, diplopia, amblyopia, blurred vision, feeling nervous, respiratory tract infection, influenza, dose-related </w:t>
            </w:r>
            <w:proofErr w:type="gramStart"/>
            <w:r w:rsidR="00C80CB2" w:rsidRPr="00C80CB2">
              <w:rPr>
                <w:rFonts w:ascii="Arial" w:hAnsi="Arial" w:cs="Arial"/>
                <w:bCs/>
                <w:sz w:val="18"/>
                <w:szCs w:val="18"/>
              </w:rPr>
              <w:t>thrombocytopenia</w:t>
            </w:r>
            <w:proofErr w:type="gramEnd"/>
          </w:p>
          <w:p w14:paraId="2CE42C91" w14:textId="2133B6DA" w:rsidR="0021563E" w:rsidRPr="0056414C" w:rsidRDefault="0021563E" w:rsidP="006A6CDD">
            <w:pPr>
              <w:pStyle w:val="Heading6"/>
              <w:rPr>
                <w:rFonts w:ascii="Times New Roman" w:hAnsi="Times New Roman"/>
                <w:b w:val="0"/>
              </w:rPr>
            </w:pPr>
          </w:p>
        </w:tc>
      </w:tr>
      <w:tr w:rsidR="003379BD" w14:paraId="15326E25" w14:textId="77777777" w:rsidTr="000C3F4C">
        <w:trPr>
          <w:cantSplit/>
          <w:trHeight w:val="576"/>
        </w:trPr>
        <w:tc>
          <w:tcPr>
            <w:tcW w:w="11448" w:type="dxa"/>
            <w:gridSpan w:val="2"/>
            <w:tcBorders>
              <w:top w:val="nil"/>
              <w:left w:val="nil"/>
              <w:bottom w:val="nil"/>
              <w:right w:val="nil"/>
            </w:tcBorders>
          </w:tcPr>
          <w:p w14:paraId="568F9EAC" w14:textId="3640A72E" w:rsidR="00C80CB2" w:rsidRPr="00C80CB2" w:rsidRDefault="003379BD" w:rsidP="00C80CB2">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C80CB2">
              <w:rPr>
                <w:rFonts w:ascii="Arial" w:hAnsi="Arial"/>
                <w:b/>
                <w:snapToGrid w:val="0"/>
                <w:color w:val="000000"/>
                <w:sz w:val="18"/>
              </w:rPr>
              <w:t>: P</w:t>
            </w:r>
            <w:r w:rsidR="00C80CB2" w:rsidRPr="00C80CB2">
              <w:rPr>
                <w:rFonts w:ascii="Arial" w:hAnsi="Arial"/>
                <w:bCs/>
                <w:snapToGrid w:val="0"/>
                <w:color w:val="000000"/>
                <w:sz w:val="18"/>
              </w:rPr>
              <w:t>eripheral edema, rash, constipation, ecchymosis, backache, nystagmus, tinnitus, depression, disturbance in thinking, mood swings, bronchitis, dyspnea, pharyngitis, rhinitis, fever, palpitations, tachycardia, hyperammonemia, hematemesis, ototoxicity - deafness, myelodysplastic syndrome</w:t>
            </w:r>
          </w:p>
          <w:p w14:paraId="1BCFFD3B" w14:textId="6AFF43E0" w:rsidR="003379BD" w:rsidRDefault="003379BD" w:rsidP="006A6CDD">
            <w:pPr>
              <w:rPr>
                <w:b/>
              </w:rPr>
            </w:pPr>
          </w:p>
        </w:tc>
      </w:tr>
      <w:tr w:rsidR="003379BD" w14:paraId="16ADBA3D" w14:textId="77777777" w:rsidTr="000C3F4C">
        <w:trPr>
          <w:cantSplit/>
          <w:trHeight w:val="576"/>
        </w:trPr>
        <w:tc>
          <w:tcPr>
            <w:tcW w:w="11448" w:type="dxa"/>
            <w:gridSpan w:val="2"/>
            <w:tcBorders>
              <w:top w:val="nil"/>
              <w:left w:val="nil"/>
              <w:bottom w:val="nil"/>
              <w:right w:val="nil"/>
            </w:tcBorders>
          </w:tcPr>
          <w:p w14:paraId="4AB82D46" w14:textId="4DAEFB62" w:rsidR="003379BD" w:rsidRDefault="003379BD" w:rsidP="006A6CDD">
            <w:pPr>
              <w:rPr>
                <w:b/>
              </w:rPr>
            </w:pPr>
            <w:r>
              <w:rPr>
                <w:rFonts w:ascii="Arial" w:hAnsi="Arial"/>
                <w:b/>
                <w:sz w:val="18"/>
              </w:rPr>
              <w:t>Rare Side Effects</w:t>
            </w:r>
            <w:r w:rsidR="00573B9B">
              <w:rPr>
                <w:rFonts w:ascii="Arial" w:hAnsi="Arial"/>
                <w:b/>
                <w:sz w:val="18"/>
              </w:rPr>
              <w:t xml:space="preserve">: </w:t>
            </w:r>
            <w:r w:rsidR="00573B9B">
              <w:rPr>
                <w:rFonts w:ascii="Arial" w:hAnsi="Arial"/>
                <w:bCs/>
                <w:sz w:val="18"/>
              </w:rPr>
              <w:t>P</w:t>
            </w:r>
            <w:r w:rsidR="00573B9B" w:rsidRPr="00573B9B">
              <w:rPr>
                <w:rFonts w:ascii="Arial" w:hAnsi="Arial"/>
                <w:bCs/>
                <w:sz w:val="18"/>
              </w:rPr>
              <w:t xml:space="preserve">leural effusion, coma, hyperammonemia-induced encephalopathy, </w:t>
            </w:r>
            <w:proofErr w:type="spellStart"/>
            <w:r w:rsidR="00573B9B" w:rsidRPr="00573B9B">
              <w:rPr>
                <w:rFonts w:ascii="Arial" w:hAnsi="Arial"/>
                <w:bCs/>
                <w:sz w:val="18"/>
              </w:rPr>
              <w:t>hyperammonemic</w:t>
            </w:r>
            <w:proofErr w:type="spellEnd"/>
            <w:r w:rsidR="00573B9B" w:rsidRPr="00573B9B">
              <w:rPr>
                <w:rFonts w:ascii="Arial" w:hAnsi="Arial"/>
                <w:bCs/>
                <w:sz w:val="18"/>
              </w:rPr>
              <w:t xml:space="preserve"> encephalopathy, tubulointerstitial nephritis, hypersensitivity reaction</w:t>
            </w:r>
            <w:r>
              <w:t xml:space="preserve">  </w:t>
            </w:r>
          </w:p>
        </w:tc>
      </w:tr>
      <w:tr w:rsidR="003379BD" w14:paraId="0666E783" w14:textId="77777777" w:rsidTr="000C3F4C">
        <w:trPr>
          <w:cantSplit/>
          <w:trHeight w:val="576"/>
        </w:trPr>
        <w:tc>
          <w:tcPr>
            <w:tcW w:w="11448" w:type="dxa"/>
            <w:gridSpan w:val="2"/>
            <w:tcBorders>
              <w:top w:val="nil"/>
              <w:left w:val="nil"/>
              <w:bottom w:val="nil"/>
              <w:right w:val="nil"/>
            </w:tcBorders>
          </w:tcPr>
          <w:p w14:paraId="71BFD01E" w14:textId="77777777" w:rsidR="00573B9B" w:rsidRPr="00573B9B" w:rsidRDefault="003379BD" w:rsidP="00573B9B">
            <w:pPr>
              <w:rPr>
                <w:rFonts w:ascii="Arial" w:hAnsi="Arial"/>
                <w:bCs/>
                <w:snapToGrid w:val="0"/>
                <w:color w:val="000000"/>
                <w:sz w:val="18"/>
              </w:rPr>
            </w:pPr>
            <w:r>
              <w:rPr>
                <w:rFonts w:ascii="Arial" w:hAnsi="Arial"/>
                <w:b/>
                <w:snapToGrid w:val="0"/>
                <w:color w:val="000000"/>
                <w:sz w:val="18"/>
              </w:rPr>
              <w:t>Caution</w:t>
            </w:r>
            <w:r w:rsidR="00573B9B">
              <w:rPr>
                <w:rFonts w:ascii="Arial" w:hAnsi="Arial"/>
                <w:b/>
                <w:snapToGrid w:val="0"/>
                <w:color w:val="000000"/>
                <w:sz w:val="18"/>
              </w:rPr>
              <w:t xml:space="preserve">: </w:t>
            </w:r>
            <w:r w:rsidR="00573B9B" w:rsidRPr="00573B9B">
              <w:rPr>
                <w:rFonts w:ascii="Arial" w:hAnsi="Arial"/>
                <w:bCs/>
                <w:snapToGrid w:val="0"/>
                <w:color w:val="000000"/>
                <w:sz w:val="18"/>
              </w:rPr>
              <w:t>Precautions: Do not discontinue without consulting with your doctor. May precipitate life-threatening status epilepticus with attendant hypoxia.</w:t>
            </w:r>
          </w:p>
          <w:p w14:paraId="66A014CB" w14:textId="77777777" w:rsidR="00573B9B" w:rsidRPr="00573B9B" w:rsidRDefault="00573B9B" w:rsidP="00573B9B">
            <w:pPr>
              <w:rPr>
                <w:rFonts w:ascii="Arial" w:hAnsi="Arial"/>
                <w:bCs/>
                <w:snapToGrid w:val="0"/>
                <w:color w:val="000000"/>
                <w:sz w:val="18"/>
              </w:rPr>
            </w:pPr>
            <w:r w:rsidRPr="00573B9B">
              <w:rPr>
                <w:rFonts w:ascii="Arial" w:hAnsi="Arial"/>
                <w:bCs/>
                <w:snapToGrid w:val="0"/>
                <w:color w:val="000000"/>
                <w:sz w:val="18"/>
              </w:rPr>
              <w:t>Let the prescriber know if you are using any antibiotics as concomitant use with carbapenem antibiotics (</w:t>
            </w:r>
            <w:proofErr w:type="spellStart"/>
            <w:r w:rsidRPr="00573B9B">
              <w:rPr>
                <w:rFonts w:ascii="Arial" w:hAnsi="Arial"/>
                <w:bCs/>
                <w:snapToGrid w:val="0"/>
                <w:color w:val="000000"/>
                <w:sz w:val="18"/>
              </w:rPr>
              <w:t>eg</w:t>
            </w:r>
            <w:proofErr w:type="spellEnd"/>
            <w:r w:rsidRPr="00573B9B">
              <w:rPr>
                <w:rFonts w:ascii="Arial" w:hAnsi="Arial"/>
                <w:bCs/>
                <w:snapToGrid w:val="0"/>
                <w:color w:val="000000"/>
                <w:sz w:val="18"/>
              </w:rPr>
              <w:t>, ertapenem, imipenem, meropenem) may lead to loss of seizure control.</w:t>
            </w:r>
          </w:p>
          <w:p w14:paraId="264AA05D"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Endocrine and metabolic:</w:t>
            </w:r>
            <w:r w:rsidRPr="00573B9B">
              <w:rPr>
                <w:rFonts w:ascii="Arial" w:hAnsi="Arial"/>
                <w:bCs/>
                <w:snapToGrid w:val="0"/>
                <w:color w:val="000000"/>
                <w:sz w:val="18"/>
              </w:rPr>
              <w:t xml:space="preserve"> Hyperammonemia, has been reported and may be present regardless of liver function test results; monitoring recommended and consider discontinuation for persistent ammonia elevations. </w:t>
            </w:r>
            <w:proofErr w:type="spellStart"/>
            <w:r w:rsidRPr="00573B9B">
              <w:rPr>
                <w:rFonts w:ascii="Arial" w:hAnsi="Arial"/>
                <w:bCs/>
                <w:snapToGrid w:val="0"/>
                <w:color w:val="000000"/>
                <w:sz w:val="18"/>
              </w:rPr>
              <w:t>Hyperammonemic</w:t>
            </w:r>
            <w:proofErr w:type="spellEnd"/>
            <w:r w:rsidRPr="00573B9B">
              <w:rPr>
                <w:rFonts w:ascii="Arial" w:hAnsi="Arial"/>
                <w:bCs/>
                <w:snapToGrid w:val="0"/>
                <w:color w:val="000000"/>
                <w:sz w:val="18"/>
              </w:rPr>
              <w:t xml:space="preserve"> encephalopathy, some cases fatal, have been reported among patients with urea cycle disorders; evaluate for urea cycle disorders prior to initiating therapy in at-risk patients or patients with signs or symptoms of urea cycle disorders; discontinue if condition occurs. Hypothermia, with and without hyperammonemia, has been reported; consider discontinuing therapy if condition occurs.</w:t>
            </w:r>
          </w:p>
          <w:p w14:paraId="17F6E9DA"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Hematologic:</w:t>
            </w:r>
            <w:r w:rsidRPr="00573B9B">
              <w:rPr>
                <w:rFonts w:ascii="Arial" w:hAnsi="Arial"/>
                <w:bCs/>
                <w:snapToGrid w:val="0"/>
                <w:color w:val="000000"/>
                <w:sz w:val="18"/>
              </w:rPr>
              <w:t xml:space="preserve"> Dose-related thrombocytopenia, myelodysplasia, decreases in other cell lines, and abnormal coagulation have been reported; baseline assessment and ongoing monitoring recommended (especially during pregnancy or before planned surgery); dose adjustment or discontinuation may be required. </w:t>
            </w:r>
          </w:p>
          <w:p w14:paraId="76761068"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Cs/>
                <w:snapToGrid w:val="0"/>
                <w:color w:val="000000"/>
                <w:sz w:val="18"/>
              </w:rPr>
              <w:t>Increased risk of elevated liver enzymes and thrombocytopenia.</w:t>
            </w:r>
          </w:p>
          <w:p w14:paraId="2A60592C"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Immunologic:</w:t>
            </w:r>
            <w:r w:rsidRPr="00573B9B">
              <w:rPr>
                <w:rFonts w:ascii="Arial" w:hAnsi="Arial"/>
                <w:bCs/>
                <w:snapToGrid w:val="0"/>
                <w:color w:val="000000"/>
                <w:sz w:val="18"/>
              </w:rPr>
              <w:t xml:space="preserve"> Life-threatening or fatal Drug Reaction with Eosinophilia and Systemic Symptoms (DRESS) multiorgan hypersensitivity reactions have been reported; discontinue if suspected and do not resume if an alternative etiology for the signs or symptoms cannot be established. Stimulation of HIV and CMV virus replication may occur. </w:t>
            </w:r>
          </w:p>
          <w:p w14:paraId="4D49BC55"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Psychiatric:</w:t>
            </w:r>
            <w:r w:rsidRPr="00573B9B">
              <w:rPr>
                <w:rFonts w:ascii="Arial" w:hAnsi="Arial"/>
                <w:bCs/>
                <w:snapToGrid w:val="0"/>
                <w:color w:val="000000"/>
                <w:sz w:val="18"/>
              </w:rPr>
              <w:t xml:space="preserve"> Suicidal thoughts and behavior have been reported.</w:t>
            </w:r>
          </w:p>
          <w:p w14:paraId="20CAF06F"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Reproductive:</w:t>
            </w:r>
            <w:r w:rsidRPr="00573B9B">
              <w:rPr>
                <w:rFonts w:ascii="Arial" w:hAnsi="Arial"/>
                <w:bCs/>
                <w:snapToGrid w:val="0"/>
                <w:color w:val="000000"/>
                <w:sz w:val="18"/>
              </w:rPr>
              <w:t xml:space="preserve"> The risks and benefits of valproate use in girls at the onset of puberty needs to be evaluated before initiation of therapy.</w:t>
            </w:r>
          </w:p>
          <w:p w14:paraId="247686DA"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Special populations:</w:t>
            </w:r>
            <w:r w:rsidRPr="00573B9B">
              <w:rPr>
                <w:rFonts w:ascii="Arial" w:hAnsi="Arial"/>
                <w:bCs/>
                <w:snapToGrid w:val="0"/>
                <w:color w:val="000000"/>
                <w:sz w:val="18"/>
              </w:rPr>
              <w:t xml:space="preserve"> Elderly require dosage reduction and slower titration due to a greater sensitivity to somnolence; monitoring for excessive somnolence, reduced nutritional intake and weight loss recommended; discontinuation may be required.</w:t>
            </w:r>
          </w:p>
          <w:p w14:paraId="72201955" w14:textId="7777777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Special populations (Beers Criteria):</w:t>
            </w:r>
            <w:r w:rsidRPr="00573B9B">
              <w:rPr>
                <w:rFonts w:ascii="Arial" w:hAnsi="Arial"/>
                <w:bCs/>
                <w:snapToGrid w:val="0"/>
                <w:color w:val="000000"/>
                <w:sz w:val="18"/>
              </w:rPr>
              <w:t xml:space="preserve"> Avoid use in elderly patients with a history of falls or fractures (unless used for seizure or mood disorders) and unless safer alternatives are not available as syncope, impaired psychomotor function, or ataxia may occur. Avoid concomitant use of 3 or more CNS-active agents in any combination due to increased risk of falls. </w:t>
            </w:r>
          </w:p>
          <w:p w14:paraId="69C75EED" w14:textId="131F7F57" w:rsidR="00573B9B" w:rsidRPr="00573B9B" w:rsidRDefault="00573B9B" w:rsidP="00573B9B">
            <w:pPr>
              <w:pStyle w:val="ListParagraph"/>
              <w:numPr>
                <w:ilvl w:val="0"/>
                <w:numId w:val="5"/>
              </w:numPr>
              <w:ind w:left="435"/>
              <w:rPr>
                <w:rFonts w:ascii="Arial" w:hAnsi="Arial"/>
                <w:bCs/>
                <w:snapToGrid w:val="0"/>
                <w:color w:val="000000"/>
                <w:sz w:val="18"/>
              </w:rPr>
            </w:pPr>
            <w:r w:rsidRPr="00573B9B">
              <w:rPr>
                <w:rFonts w:ascii="Arial" w:hAnsi="Arial"/>
                <w:b/>
                <w:snapToGrid w:val="0"/>
                <w:color w:val="000000"/>
                <w:sz w:val="18"/>
              </w:rPr>
              <w:t>Special populations (KIDs List):</w:t>
            </w:r>
            <w:r w:rsidRPr="00573B9B">
              <w:rPr>
                <w:rFonts w:ascii="Arial" w:hAnsi="Arial"/>
                <w:bCs/>
                <w:snapToGrid w:val="0"/>
                <w:color w:val="000000"/>
                <w:sz w:val="18"/>
              </w:rPr>
              <w:t xml:space="preserve"> Avoid use in infants and use caution in children younger than 6 years due to risk of pancreatitis and fatal hepatotoxicity.</w:t>
            </w:r>
          </w:p>
          <w:p w14:paraId="21CE678A" w14:textId="775925BB" w:rsidR="003379BD" w:rsidRDefault="003379BD" w:rsidP="00C65074">
            <w:pPr>
              <w:rPr>
                <w:b/>
              </w:rPr>
            </w:pPr>
          </w:p>
        </w:tc>
      </w:tr>
      <w:tr w:rsidR="003379BD" w14:paraId="1ABCDE1C" w14:textId="77777777" w:rsidTr="000C3F4C">
        <w:trPr>
          <w:cantSplit/>
          <w:trHeight w:val="576"/>
        </w:trPr>
        <w:tc>
          <w:tcPr>
            <w:tcW w:w="11448" w:type="dxa"/>
            <w:gridSpan w:val="2"/>
            <w:tcBorders>
              <w:top w:val="nil"/>
              <w:left w:val="nil"/>
              <w:bottom w:val="nil"/>
              <w:right w:val="nil"/>
            </w:tcBorders>
          </w:tcPr>
          <w:p w14:paraId="592ABEE2" w14:textId="77777777" w:rsidR="000C3F4C" w:rsidRPr="000C3F4C" w:rsidRDefault="003379BD" w:rsidP="000C3F4C">
            <w:pPr>
              <w:rPr>
                <w:rFonts w:ascii="Arial" w:hAnsi="Arial"/>
                <w:b/>
                <w:snapToGrid w:val="0"/>
                <w:color w:val="000000"/>
                <w:sz w:val="18"/>
              </w:rPr>
            </w:pPr>
            <w:r>
              <w:rPr>
                <w:rFonts w:ascii="Arial" w:hAnsi="Arial"/>
                <w:b/>
                <w:snapToGrid w:val="0"/>
                <w:color w:val="000000"/>
                <w:sz w:val="18"/>
              </w:rPr>
              <w:lastRenderedPageBreak/>
              <w:t>Warning</w:t>
            </w:r>
            <w:r w:rsidR="000C3F4C">
              <w:rPr>
                <w:rFonts w:ascii="Arial" w:hAnsi="Arial"/>
                <w:b/>
                <w:snapToGrid w:val="0"/>
                <w:color w:val="000000"/>
                <w:sz w:val="18"/>
              </w:rPr>
              <w:t xml:space="preserve">: </w:t>
            </w:r>
            <w:r w:rsidR="000C3F4C" w:rsidRPr="000C3F4C">
              <w:rPr>
                <w:rFonts w:ascii="Arial" w:hAnsi="Arial"/>
                <w:b/>
                <w:snapToGrid w:val="0"/>
                <w:color w:val="000000"/>
                <w:sz w:val="18"/>
              </w:rPr>
              <w:t xml:space="preserve">Black box warning: </w:t>
            </w:r>
          </w:p>
          <w:p w14:paraId="57E9BC97" w14:textId="77777777" w:rsidR="000C3F4C" w:rsidRPr="000C3F4C" w:rsidRDefault="000C3F4C" w:rsidP="000C3F4C">
            <w:pPr>
              <w:rPr>
                <w:rFonts w:ascii="Arial" w:hAnsi="Arial"/>
                <w:b/>
                <w:snapToGrid w:val="0"/>
                <w:color w:val="000000"/>
                <w:sz w:val="18"/>
              </w:rPr>
            </w:pPr>
            <w:r w:rsidRPr="000C3F4C">
              <w:rPr>
                <w:rFonts w:ascii="Arial" w:hAnsi="Arial"/>
                <w:b/>
                <w:snapToGrid w:val="0"/>
                <w:color w:val="000000"/>
                <w:sz w:val="18"/>
              </w:rPr>
              <w:t>a) Oral (Capsule, Delayed Release)</w:t>
            </w:r>
          </w:p>
          <w:p w14:paraId="3CF4DA8D" w14:textId="77777777" w:rsidR="000C3F4C" w:rsidRPr="000C3F4C" w:rsidRDefault="000C3F4C" w:rsidP="000C3F4C">
            <w:pPr>
              <w:pStyle w:val="ListParagraph"/>
              <w:numPr>
                <w:ilvl w:val="0"/>
                <w:numId w:val="6"/>
              </w:numPr>
              <w:ind w:left="435"/>
              <w:rPr>
                <w:rFonts w:ascii="Arial" w:hAnsi="Arial"/>
                <w:b/>
                <w:snapToGrid w:val="0"/>
                <w:color w:val="000000"/>
                <w:sz w:val="18"/>
              </w:rPr>
            </w:pPr>
            <w:r w:rsidRPr="000C3F4C">
              <w:rPr>
                <w:rFonts w:ascii="Arial" w:hAnsi="Arial"/>
                <w:b/>
                <w:snapToGrid w:val="0"/>
                <w:color w:val="000000"/>
                <w:sz w:val="18"/>
              </w:rPr>
              <w:t>Hepatotoxicity</w:t>
            </w:r>
          </w:p>
          <w:p w14:paraId="2E63CE24" w14:textId="77777777" w:rsidR="000C3F4C" w:rsidRPr="000C3F4C" w:rsidRDefault="000C3F4C" w:rsidP="000C3F4C">
            <w:pPr>
              <w:pStyle w:val="ListParagraph"/>
              <w:numPr>
                <w:ilvl w:val="1"/>
                <w:numId w:val="6"/>
              </w:numPr>
              <w:ind w:left="795"/>
              <w:rPr>
                <w:rFonts w:ascii="Arial" w:hAnsi="Arial"/>
                <w:bCs/>
                <w:snapToGrid w:val="0"/>
                <w:color w:val="000000"/>
                <w:sz w:val="18"/>
              </w:rPr>
            </w:pPr>
            <w:r w:rsidRPr="000C3F4C">
              <w:rPr>
                <w:rFonts w:ascii="Arial" w:hAnsi="Arial"/>
                <w:bCs/>
                <w:snapToGrid w:val="0"/>
                <w:color w:val="000000"/>
                <w:sz w:val="18"/>
              </w:rPr>
              <w:t>General Population:</w:t>
            </w:r>
            <w:r w:rsidRPr="000C3F4C">
              <w:rPr>
                <w:rFonts w:ascii="Arial" w:hAnsi="Arial"/>
                <w:b/>
                <w:snapToGrid w:val="0"/>
                <w:color w:val="000000"/>
                <w:sz w:val="18"/>
              </w:rPr>
              <w:t xml:space="preserve"> </w:t>
            </w:r>
            <w:r w:rsidRPr="000C3F4C">
              <w:rPr>
                <w:rFonts w:ascii="Arial" w:hAnsi="Arial"/>
                <w:bCs/>
                <w:snapToGrid w:val="0"/>
                <w:color w:val="000000"/>
                <w:sz w:val="18"/>
              </w:rPr>
              <w:t>Hepatic failure resulting in fatalities has occurred in patients receiving valproate and its derivatives. These incidents usually have occurred during the first 6 months of treatment. Serious or fatal hepatotoxicity may be preceded by non-specific symptoms such as malaise, weakness, lethargy, facial edema, anorexia, and vomiting. In patients with epilepsy, a loss of seizure control may also occur. Patients should be monitored closely for appearance of these symptoms. Serum liver tests should be performed prior to therapy and at frequent intervals thereafter, especially during the first six months.</w:t>
            </w:r>
          </w:p>
          <w:p w14:paraId="4B84C796" w14:textId="77777777" w:rsidR="000C3F4C" w:rsidRPr="000C3F4C" w:rsidRDefault="000C3F4C" w:rsidP="000C3F4C">
            <w:pPr>
              <w:pStyle w:val="ListParagraph"/>
              <w:numPr>
                <w:ilvl w:val="1"/>
                <w:numId w:val="6"/>
              </w:numPr>
              <w:ind w:left="795"/>
              <w:rPr>
                <w:rFonts w:ascii="Arial" w:hAnsi="Arial"/>
                <w:bCs/>
                <w:snapToGrid w:val="0"/>
                <w:color w:val="000000"/>
                <w:sz w:val="18"/>
              </w:rPr>
            </w:pPr>
            <w:r w:rsidRPr="000C3F4C">
              <w:rPr>
                <w:rFonts w:ascii="Arial" w:hAnsi="Arial"/>
                <w:bCs/>
                <w:snapToGrid w:val="0"/>
                <w:color w:val="000000"/>
                <w:sz w:val="18"/>
              </w:rPr>
              <w:t>Children under the age of 2 years are at a considerably increased risk of developing fatal hepatotoxicity, especially those on multiple anticonvulsants, those with congenital metabolic disorders, those with severe seizure disorders accompanied by mental retardation, and those with organic brain disease. When valproic acid is used in this patient group, it should be used with extreme caution and as a sole agent. The benefits of therapy should be weighed against the risks. The incidence of fatal hepatotoxicity decreases considerably in progressively older patient groups.</w:t>
            </w:r>
          </w:p>
          <w:p w14:paraId="48E532CF" w14:textId="290B583B" w:rsidR="000C3F4C" w:rsidRPr="000C3F4C" w:rsidRDefault="000C3F4C" w:rsidP="000C3F4C">
            <w:pPr>
              <w:pStyle w:val="ListParagraph"/>
              <w:numPr>
                <w:ilvl w:val="1"/>
                <w:numId w:val="6"/>
              </w:numPr>
              <w:ind w:left="795"/>
              <w:rPr>
                <w:rFonts w:ascii="Arial" w:hAnsi="Arial"/>
                <w:bCs/>
                <w:snapToGrid w:val="0"/>
                <w:color w:val="000000"/>
                <w:sz w:val="18"/>
              </w:rPr>
            </w:pPr>
            <w:r w:rsidRPr="000C3F4C">
              <w:rPr>
                <w:rFonts w:ascii="Arial" w:hAnsi="Arial"/>
                <w:bCs/>
                <w:snapToGrid w:val="0"/>
                <w:color w:val="000000"/>
                <w:sz w:val="18"/>
              </w:rPr>
              <w:t xml:space="preserve">Patients with Mitochondrial Disease: There is an increased risk of valproate-induced acute liver failure and resultant deaths in patients with hereditary neurometabolic syndromes caused by DNA mutations of the mitochondrial DNA Polymerase gamma (POLG) gene (e.g., Alpers </w:t>
            </w:r>
            <w:proofErr w:type="spellStart"/>
            <w:r w:rsidRPr="000C3F4C">
              <w:rPr>
                <w:rFonts w:ascii="Arial" w:hAnsi="Arial"/>
                <w:bCs/>
                <w:snapToGrid w:val="0"/>
                <w:color w:val="000000"/>
                <w:sz w:val="18"/>
              </w:rPr>
              <w:t>Huttenlocher</w:t>
            </w:r>
            <w:proofErr w:type="spellEnd"/>
            <w:r w:rsidRPr="000C3F4C">
              <w:rPr>
                <w:rFonts w:ascii="Arial" w:hAnsi="Arial"/>
                <w:bCs/>
                <w:snapToGrid w:val="0"/>
                <w:color w:val="000000"/>
                <w:sz w:val="18"/>
              </w:rPr>
              <w:t xml:space="preserve"> Syndrome). Valproate is contraindicated in patients known to have mitochondrial disorders caused by POLG mutations and children under 2 years of age who are clinically suspected of having a mitochondrial disorder. In patients over 2 years of age who are clinically suspected of having a hereditary mitochondrial disease, valproic acid should only be used after other anticonvulsants have failed. This older group of patients should be closely monitored during treatment with valproic acid for the development of acute liver injury with regular clinical assessments and serum liver testing. POLG mutation screening should be performed in accordance with current clinical practice. These incidents usually have occurred during the first 6 months of treatment. Serious or fatal hepatotoxicity may be preceded by nonspecific symptoms such as malaise, weakness, lethargy, facial edema, anorexia, and vomiting. In patients with epilepsy, a loss of seizure control may also occur. Patients should be monitored closely for appearance of these symptoms. Liver function tests should be performed prior to therapy and at frequent intervals thereafter, especially during the first 6 months.</w:t>
            </w:r>
          </w:p>
          <w:p w14:paraId="5DD48A13" w14:textId="77777777" w:rsidR="000C3F4C" w:rsidRDefault="000C3F4C" w:rsidP="000C3F4C">
            <w:pPr>
              <w:pStyle w:val="ListParagraph"/>
              <w:numPr>
                <w:ilvl w:val="0"/>
                <w:numId w:val="6"/>
              </w:numPr>
              <w:ind w:left="435"/>
              <w:rPr>
                <w:rFonts w:ascii="Arial" w:hAnsi="Arial"/>
                <w:b/>
                <w:snapToGrid w:val="0"/>
                <w:color w:val="000000"/>
                <w:sz w:val="18"/>
              </w:rPr>
            </w:pPr>
            <w:r w:rsidRPr="000C3F4C">
              <w:rPr>
                <w:rFonts w:ascii="Arial" w:hAnsi="Arial"/>
                <w:b/>
                <w:snapToGrid w:val="0"/>
                <w:color w:val="000000"/>
                <w:sz w:val="18"/>
              </w:rPr>
              <w:t>Fetal Risk</w:t>
            </w:r>
          </w:p>
          <w:p w14:paraId="6D16DE4D" w14:textId="77777777" w:rsidR="000C3F4C" w:rsidRPr="000C3F4C" w:rsidRDefault="000C3F4C" w:rsidP="000C3F4C">
            <w:pPr>
              <w:pStyle w:val="ListParagraph"/>
              <w:ind w:left="435"/>
              <w:rPr>
                <w:rFonts w:ascii="Arial" w:hAnsi="Arial"/>
                <w:bCs/>
                <w:snapToGrid w:val="0"/>
                <w:color w:val="000000"/>
                <w:sz w:val="18"/>
              </w:rPr>
            </w:pPr>
            <w:r w:rsidRPr="000C3F4C">
              <w:rPr>
                <w:rFonts w:ascii="Arial" w:hAnsi="Arial"/>
                <w:bCs/>
                <w:snapToGrid w:val="0"/>
                <w:color w:val="000000"/>
                <w:sz w:val="18"/>
              </w:rPr>
              <w:t>Valproate can cause major congenital malformations, particularly neural tube defects (</w:t>
            </w:r>
            <w:proofErr w:type="spellStart"/>
            <w:r w:rsidRPr="000C3F4C">
              <w:rPr>
                <w:rFonts w:ascii="Arial" w:hAnsi="Arial"/>
                <w:bCs/>
                <w:snapToGrid w:val="0"/>
                <w:color w:val="000000"/>
                <w:sz w:val="18"/>
              </w:rPr>
              <w:t>eg</w:t>
            </w:r>
            <w:proofErr w:type="spellEnd"/>
            <w:r w:rsidRPr="000C3F4C">
              <w:rPr>
                <w:rFonts w:ascii="Arial" w:hAnsi="Arial"/>
                <w:bCs/>
                <w:snapToGrid w:val="0"/>
                <w:color w:val="000000"/>
                <w:sz w:val="18"/>
              </w:rPr>
              <w:t>, spina bifida). In addition, valproate can cause decreased IQ scores and neurodevelopmental disorders following in utero exposure.</w:t>
            </w:r>
          </w:p>
          <w:p w14:paraId="7C1FF88E" w14:textId="3D61D436" w:rsidR="000C3F4C" w:rsidRPr="000C3F4C" w:rsidRDefault="000C3F4C" w:rsidP="000C3F4C">
            <w:pPr>
              <w:pStyle w:val="ListParagraph"/>
              <w:ind w:left="435"/>
              <w:rPr>
                <w:rFonts w:ascii="Arial" w:hAnsi="Arial"/>
                <w:bCs/>
                <w:snapToGrid w:val="0"/>
                <w:color w:val="000000"/>
                <w:sz w:val="18"/>
              </w:rPr>
            </w:pPr>
            <w:r w:rsidRPr="000C3F4C">
              <w:rPr>
                <w:rFonts w:ascii="Arial" w:hAnsi="Arial"/>
                <w:bCs/>
                <w:snapToGrid w:val="0"/>
                <w:color w:val="000000"/>
                <w:sz w:val="18"/>
              </w:rPr>
              <w:t>Valproate is therefore contraindicated for prophylaxis of migraine headaches in pregnant women and in women of childbearing potential who are not using effective contraception. Valproate should not be used to treat women with epilepsy or bipolar disorder who are pregnant or who plan to become pregnant unless other medications have failed to provide adequate symptom control or are otherwise unacceptable.</w:t>
            </w:r>
          </w:p>
          <w:p w14:paraId="718F68A1" w14:textId="77777777" w:rsidR="000C3F4C" w:rsidRPr="000C3F4C" w:rsidRDefault="000C3F4C" w:rsidP="000C3F4C">
            <w:pPr>
              <w:pStyle w:val="ListParagraph"/>
              <w:ind w:left="435"/>
              <w:rPr>
                <w:rFonts w:ascii="Arial" w:hAnsi="Arial"/>
                <w:bCs/>
                <w:snapToGrid w:val="0"/>
                <w:color w:val="000000"/>
                <w:sz w:val="18"/>
              </w:rPr>
            </w:pPr>
            <w:r w:rsidRPr="000C3F4C">
              <w:rPr>
                <w:rFonts w:ascii="Arial" w:hAnsi="Arial"/>
                <w:bCs/>
                <w:snapToGrid w:val="0"/>
                <w:color w:val="000000"/>
                <w:sz w:val="18"/>
              </w:rPr>
              <w:t>Valproate should not be administered to a woman of childbearing potential unless other medications have failed to provide adequate symptom control or are otherwise unacceptable. In such situations, effective contraception should be used.</w:t>
            </w:r>
          </w:p>
          <w:p w14:paraId="25ADCADF" w14:textId="77777777" w:rsidR="000C3F4C" w:rsidRPr="000C3F4C" w:rsidRDefault="000C3F4C" w:rsidP="000C3F4C">
            <w:pPr>
              <w:pStyle w:val="ListParagraph"/>
              <w:numPr>
                <w:ilvl w:val="0"/>
                <w:numId w:val="6"/>
              </w:numPr>
              <w:ind w:left="435"/>
              <w:rPr>
                <w:rFonts w:ascii="Arial" w:hAnsi="Arial"/>
                <w:b/>
                <w:snapToGrid w:val="0"/>
                <w:color w:val="000000"/>
                <w:sz w:val="18"/>
              </w:rPr>
            </w:pPr>
            <w:r w:rsidRPr="000C3F4C">
              <w:rPr>
                <w:rFonts w:ascii="Arial" w:hAnsi="Arial"/>
                <w:b/>
                <w:snapToGrid w:val="0"/>
                <w:color w:val="000000"/>
                <w:sz w:val="18"/>
              </w:rPr>
              <w:t>Pancreatitis</w:t>
            </w:r>
          </w:p>
          <w:p w14:paraId="174C9386" w14:textId="77777777" w:rsidR="000C3F4C" w:rsidRPr="000C3F4C" w:rsidRDefault="000C3F4C" w:rsidP="000C3F4C">
            <w:pPr>
              <w:pStyle w:val="ListParagraph"/>
              <w:ind w:left="435"/>
              <w:rPr>
                <w:rFonts w:ascii="Arial" w:hAnsi="Arial"/>
                <w:bCs/>
                <w:snapToGrid w:val="0"/>
                <w:color w:val="000000"/>
                <w:sz w:val="18"/>
              </w:rPr>
            </w:pPr>
            <w:r w:rsidRPr="000C3F4C">
              <w:rPr>
                <w:rFonts w:ascii="Arial" w:hAnsi="Arial"/>
                <w:bCs/>
                <w:snapToGrid w:val="0"/>
                <w:color w:val="000000"/>
                <w:sz w:val="18"/>
              </w:rPr>
              <w:t>Cases of life-threatening pancreatitis have been reported in both children and adults receiving valproate. Some of the cases have been described as hemorrhagic with a rapid progression from initial symptoms to death. Cases have been reported shortly after initial use as well as after several years of use. Patients and guardians should be warned that abdominal pain, nausea, vomiting and/or anorexia can be symptoms of pancreatitis that require prompt medical evaluation. If pancreatitis is diagnosed, valproate should ordinarily be discontinued. Alternative treatment for the underlying medical condition should be initiated as clinically indicated.</w:t>
            </w:r>
          </w:p>
          <w:p w14:paraId="6FC42C3B" w14:textId="77777777" w:rsidR="000C3F4C" w:rsidRPr="000C3F4C" w:rsidRDefault="000C3F4C" w:rsidP="000C3F4C">
            <w:pPr>
              <w:rPr>
                <w:rFonts w:ascii="Arial" w:hAnsi="Arial"/>
                <w:b/>
                <w:snapToGrid w:val="0"/>
                <w:color w:val="000000"/>
                <w:sz w:val="18"/>
              </w:rPr>
            </w:pPr>
            <w:r w:rsidRPr="000C3F4C">
              <w:rPr>
                <w:rFonts w:ascii="Arial" w:hAnsi="Arial"/>
                <w:b/>
                <w:snapToGrid w:val="0"/>
                <w:color w:val="000000"/>
                <w:sz w:val="18"/>
              </w:rPr>
              <w:t xml:space="preserve">b) Oral (capsule, liquid </w:t>
            </w:r>
            <w:proofErr w:type="gramStart"/>
            <w:r w:rsidRPr="000C3F4C">
              <w:rPr>
                <w:rFonts w:ascii="Arial" w:hAnsi="Arial"/>
                <w:b/>
                <w:snapToGrid w:val="0"/>
                <w:color w:val="000000"/>
                <w:sz w:val="18"/>
              </w:rPr>
              <w:t>filled;</w:t>
            </w:r>
            <w:proofErr w:type="gramEnd"/>
            <w:r w:rsidRPr="000C3F4C">
              <w:rPr>
                <w:rFonts w:ascii="Arial" w:hAnsi="Arial"/>
                <w:b/>
                <w:snapToGrid w:val="0"/>
                <w:color w:val="000000"/>
                <w:sz w:val="18"/>
              </w:rPr>
              <w:t xml:space="preserve"> syrup)</w:t>
            </w:r>
          </w:p>
          <w:p w14:paraId="41B4909F" w14:textId="77777777" w:rsidR="000C3F4C" w:rsidRDefault="000C3F4C" w:rsidP="000C3F4C">
            <w:pPr>
              <w:pStyle w:val="ListParagraph"/>
              <w:numPr>
                <w:ilvl w:val="0"/>
                <w:numId w:val="6"/>
              </w:numPr>
              <w:ind w:left="435"/>
              <w:rPr>
                <w:rFonts w:ascii="Arial" w:hAnsi="Arial"/>
                <w:b/>
                <w:snapToGrid w:val="0"/>
                <w:color w:val="000000"/>
                <w:sz w:val="18"/>
              </w:rPr>
            </w:pPr>
            <w:r w:rsidRPr="000C3F4C">
              <w:rPr>
                <w:rFonts w:ascii="Arial" w:hAnsi="Arial"/>
                <w:b/>
                <w:snapToGrid w:val="0"/>
                <w:color w:val="000000"/>
                <w:sz w:val="18"/>
              </w:rPr>
              <w:t>Hepatotoxicity</w:t>
            </w:r>
          </w:p>
          <w:p w14:paraId="57A266E3" w14:textId="77777777" w:rsidR="000C3F4C" w:rsidRPr="000C3F4C" w:rsidRDefault="000C3F4C" w:rsidP="000C3F4C">
            <w:pPr>
              <w:pStyle w:val="ListParagraph"/>
              <w:numPr>
                <w:ilvl w:val="1"/>
                <w:numId w:val="6"/>
              </w:numPr>
              <w:ind w:left="795"/>
              <w:rPr>
                <w:rFonts w:ascii="Arial" w:hAnsi="Arial"/>
                <w:bCs/>
                <w:snapToGrid w:val="0"/>
                <w:color w:val="000000"/>
                <w:sz w:val="18"/>
              </w:rPr>
            </w:pPr>
            <w:r w:rsidRPr="000C3F4C">
              <w:rPr>
                <w:rFonts w:ascii="Arial" w:hAnsi="Arial"/>
                <w:bCs/>
                <w:snapToGrid w:val="0"/>
                <w:color w:val="000000"/>
                <w:sz w:val="18"/>
              </w:rPr>
              <w:t>General Population: Hepatic failure resulting in fatalities has occurred in patients receiving valproate. These incidents usually have occurred during the first six months of treatment. Serious or fatal hepatotoxicity may be preceded by non-specific symptoms such as malaise, weakness, lethargy, facial edema, anorexia, and vomiting. In patients with epilepsy, a loss of seizure control may also occur. Patients should be monitored closely for appearance of these symptoms. Serum liver tests should be performed prior to therapy and at frequent intervals thereafter, especially during the first 6 months.</w:t>
            </w:r>
          </w:p>
          <w:p w14:paraId="1BB42E1E" w14:textId="77777777" w:rsidR="000C3F4C" w:rsidRPr="000C3F4C" w:rsidRDefault="000C3F4C" w:rsidP="000C3F4C">
            <w:pPr>
              <w:pStyle w:val="ListParagraph"/>
              <w:numPr>
                <w:ilvl w:val="1"/>
                <w:numId w:val="6"/>
              </w:numPr>
              <w:ind w:left="795"/>
              <w:rPr>
                <w:rFonts w:ascii="Arial" w:hAnsi="Arial"/>
                <w:bCs/>
                <w:snapToGrid w:val="0"/>
                <w:color w:val="000000"/>
                <w:sz w:val="18"/>
              </w:rPr>
            </w:pPr>
            <w:r w:rsidRPr="000C3F4C">
              <w:rPr>
                <w:rFonts w:ascii="Arial" w:hAnsi="Arial"/>
                <w:bCs/>
                <w:snapToGrid w:val="0"/>
                <w:color w:val="000000"/>
                <w:sz w:val="18"/>
              </w:rPr>
              <w:t>Children under the age of 2 years are at a considerably increased risk of developing fatal hepatotoxicity, especially those on multiple anticonvulsants, those with congenital metabolic disorders, those with severe seizure disorders accompanied by mental retardation, and those with organic brain disease. When valproic acid products are used in this patient group, they should be used with extreme caution and as a sole agent. The benefits of therapy should be weighed against the risks. The incidence of fatal hepatotoxicity decreases considerably in progressively older patient groups.</w:t>
            </w:r>
          </w:p>
          <w:p w14:paraId="733D80DA" w14:textId="70738B4E" w:rsidR="000C3F4C" w:rsidRPr="000C3F4C" w:rsidRDefault="000C3F4C" w:rsidP="000C3F4C">
            <w:pPr>
              <w:pStyle w:val="ListParagraph"/>
              <w:numPr>
                <w:ilvl w:val="1"/>
                <w:numId w:val="6"/>
              </w:numPr>
              <w:ind w:left="795"/>
              <w:rPr>
                <w:rFonts w:ascii="Arial" w:hAnsi="Arial"/>
                <w:bCs/>
                <w:snapToGrid w:val="0"/>
                <w:color w:val="000000"/>
                <w:sz w:val="18"/>
              </w:rPr>
            </w:pPr>
            <w:r w:rsidRPr="000C3F4C">
              <w:rPr>
                <w:rFonts w:ascii="Arial" w:hAnsi="Arial"/>
                <w:bCs/>
                <w:snapToGrid w:val="0"/>
                <w:color w:val="000000"/>
                <w:sz w:val="18"/>
              </w:rPr>
              <w:t xml:space="preserve">Patients with Mitochondrial Disease: There is an increased risk of valproate-induced acute liver failure and resultant deaths in patients with hereditary neurometabolic syndromes caused by DNA mutations of the mitochondrial DNA Polymerase gamma (POLG) gene (e.g. Alpers </w:t>
            </w:r>
            <w:proofErr w:type="spellStart"/>
            <w:r w:rsidRPr="000C3F4C">
              <w:rPr>
                <w:rFonts w:ascii="Arial" w:hAnsi="Arial"/>
                <w:bCs/>
                <w:snapToGrid w:val="0"/>
                <w:color w:val="000000"/>
                <w:sz w:val="18"/>
              </w:rPr>
              <w:t>Huttenlocher</w:t>
            </w:r>
            <w:proofErr w:type="spellEnd"/>
            <w:r w:rsidRPr="000C3F4C">
              <w:rPr>
                <w:rFonts w:ascii="Arial" w:hAnsi="Arial"/>
                <w:bCs/>
                <w:snapToGrid w:val="0"/>
                <w:color w:val="000000"/>
                <w:sz w:val="18"/>
              </w:rPr>
              <w:t xml:space="preserve"> Syndrome). Valproic acid is contraindicated in patients known to have mitochondrial disorders caused by POLG mutations and children under two years of age who are clinically suspected of having a mitochondrial disorder. In patients over two years of age who are clinically suspected of having a hereditary mitochondrial disease, valproic acid should only be used after other anticonvulsants have failed. This older group of patients should be closely monitored during treatment with valproic acid for the development of acute liver injury with regular clinical assessments and serum liver testing. POLG mutation screening should be performed in accordance with current clinical practice.</w:t>
            </w:r>
          </w:p>
          <w:p w14:paraId="5C241F56" w14:textId="77777777" w:rsidR="000C3F4C" w:rsidRPr="000C3F4C" w:rsidRDefault="000C3F4C" w:rsidP="000C3F4C">
            <w:pPr>
              <w:pStyle w:val="ListParagraph"/>
              <w:numPr>
                <w:ilvl w:val="0"/>
                <w:numId w:val="6"/>
              </w:numPr>
              <w:ind w:left="435"/>
              <w:rPr>
                <w:rFonts w:ascii="Arial" w:hAnsi="Arial"/>
                <w:bCs/>
                <w:snapToGrid w:val="0"/>
                <w:color w:val="000000"/>
                <w:sz w:val="18"/>
              </w:rPr>
            </w:pPr>
            <w:r w:rsidRPr="000C3F4C">
              <w:rPr>
                <w:rFonts w:ascii="Arial" w:hAnsi="Arial"/>
                <w:b/>
                <w:snapToGrid w:val="0"/>
                <w:color w:val="000000"/>
                <w:sz w:val="18"/>
              </w:rPr>
              <w:t>Fetal Risk</w:t>
            </w:r>
            <w:r>
              <w:rPr>
                <w:rFonts w:ascii="Arial" w:hAnsi="Arial"/>
                <w:b/>
                <w:snapToGrid w:val="0"/>
                <w:color w:val="000000"/>
                <w:sz w:val="18"/>
              </w:rPr>
              <w:br/>
            </w:r>
            <w:r w:rsidRPr="000C3F4C">
              <w:rPr>
                <w:rFonts w:ascii="Arial" w:hAnsi="Arial"/>
                <w:bCs/>
                <w:snapToGrid w:val="0"/>
                <w:color w:val="000000"/>
                <w:sz w:val="18"/>
              </w:rPr>
              <w:t>Valproate can cause major congenital malformations, particularly neural tube defects (e.g., spina bifida). In addition, valproate can cause decreased IQ scores and neurodevelopmental disorders following in utero exposure.</w:t>
            </w:r>
          </w:p>
          <w:p w14:paraId="5DD71B16" w14:textId="77777777" w:rsidR="000C3F4C" w:rsidRPr="000C3F4C" w:rsidRDefault="000C3F4C" w:rsidP="000C3F4C">
            <w:pPr>
              <w:pStyle w:val="ListParagraph"/>
              <w:ind w:left="435"/>
              <w:rPr>
                <w:rFonts w:ascii="Arial" w:hAnsi="Arial"/>
                <w:bCs/>
                <w:snapToGrid w:val="0"/>
                <w:color w:val="000000"/>
                <w:sz w:val="18"/>
              </w:rPr>
            </w:pPr>
            <w:r w:rsidRPr="000C3F4C">
              <w:rPr>
                <w:rFonts w:ascii="Arial" w:hAnsi="Arial"/>
                <w:bCs/>
                <w:snapToGrid w:val="0"/>
                <w:color w:val="000000"/>
                <w:sz w:val="18"/>
              </w:rPr>
              <w:t>Valproate is therefore contraindicated for prophylaxis of migraine headaches in pregnant women and in women of childbearing potential who are not using effective contraception. Valproate should not be used to treat women with epilepsy or bipolar disorder who are pregnant or who plan to become pregnant unless other medications have failed to provide adequate symptom control or are otherwise unacceptable.</w:t>
            </w:r>
          </w:p>
          <w:p w14:paraId="420BEA9F" w14:textId="51DB1C3C" w:rsidR="000C3F4C" w:rsidRPr="000C3F4C" w:rsidRDefault="000C3F4C" w:rsidP="000C3F4C">
            <w:pPr>
              <w:pStyle w:val="ListParagraph"/>
              <w:ind w:left="435"/>
              <w:rPr>
                <w:rFonts w:ascii="Arial" w:hAnsi="Arial"/>
                <w:bCs/>
                <w:snapToGrid w:val="0"/>
                <w:color w:val="000000"/>
                <w:sz w:val="18"/>
              </w:rPr>
            </w:pPr>
            <w:r w:rsidRPr="000C3F4C">
              <w:rPr>
                <w:rFonts w:ascii="Arial" w:hAnsi="Arial"/>
                <w:bCs/>
                <w:snapToGrid w:val="0"/>
                <w:color w:val="000000"/>
                <w:sz w:val="18"/>
              </w:rPr>
              <w:lastRenderedPageBreak/>
              <w:t>Valproate should not be administered to a woman of childbearing potential unless other medications have failed to provide adequate symptom control or are otherwise unacceptable. In such situations, effective contraception should be used.</w:t>
            </w:r>
          </w:p>
          <w:p w14:paraId="2427F0CE" w14:textId="5D577EF4" w:rsidR="000C3F4C" w:rsidRPr="000C3F4C" w:rsidRDefault="000C3F4C" w:rsidP="000C3F4C">
            <w:pPr>
              <w:pStyle w:val="ListParagraph"/>
              <w:numPr>
                <w:ilvl w:val="0"/>
                <w:numId w:val="7"/>
              </w:numPr>
              <w:ind w:left="435"/>
              <w:rPr>
                <w:rFonts w:ascii="Arial" w:hAnsi="Arial"/>
                <w:bCs/>
                <w:snapToGrid w:val="0"/>
                <w:color w:val="000000"/>
                <w:sz w:val="18"/>
              </w:rPr>
            </w:pPr>
            <w:r w:rsidRPr="000C3F4C">
              <w:rPr>
                <w:rFonts w:ascii="Arial" w:hAnsi="Arial"/>
                <w:b/>
                <w:snapToGrid w:val="0"/>
                <w:color w:val="000000"/>
                <w:sz w:val="18"/>
              </w:rPr>
              <w:t>Pancreatitis</w:t>
            </w:r>
            <w:r>
              <w:rPr>
                <w:rFonts w:ascii="Arial" w:hAnsi="Arial"/>
                <w:b/>
                <w:snapToGrid w:val="0"/>
                <w:color w:val="000000"/>
                <w:sz w:val="18"/>
              </w:rPr>
              <w:br/>
            </w:r>
            <w:r w:rsidRPr="000C3F4C">
              <w:rPr>
                <w:rFonts w:ascii="Arial" w:hAnsi="Arial"/>
                <w:bCs/>
                <w:snapToGrid w:val="0"/>
                <w:color w:val="000000"/>
                <w:sz w:val="18"/>
              </w:rPr>
              <w:t xml:space="preserve">Cases of life-threatening pancreatitis have been reported in both children and adults receiving valproate. Some of the cases have been described as hemorrhagic with a rapid progression from initial symptoms to death. Cases have been reported shortly after initial use as well as after several years of use. Patients and guardians should be warned that abdominal pain, nausea, vomiting, and/or anorexia can be symptoms of pancreatitis that require prompt medical evaluation. If pancreatitis is diagnosed, valproate should ordinarily be discontinued. Alternative treatment for the underlying medical condition should be initiated as clinically </w:t>
            </w:r>
            <w:proofErr w:type="gramStart"/>
            <w:r w:rsidRPr="000C3F4C">
              <w:rPr>
                <w:rFonts w:ascii="Arial" w:hAnsi="Arial"/>
                <w:bCs/>
                <w:snapToGrid w:val="0"/>
                <w:color w:val="000000"/>
                <w:sz w:val="18"/>
              </w:rPr>
              <w:t>indicated</w:t>
            </w:r>
            <w:proofErr w:type="gramEnd"/>
          </w:p>
          <w:p w14:paraId="34CC3FEB" w14:textId="6826CBFC" w:rsidR="003379BD" w:rsidRDefault="003379BD" w:rsidP="00D8455D">
            <w:pPr>
              <w:rPr>
                <w:b/>
              </w:rPr>
            </w:pPr>
          </w:p>
        </w:tc>
      </w:tr>
      <w:tr w:rsidR="004553BF" w14:paraId="03A22388" w14:textId="77777777" w:rsidTr="000C3F4C">
        <w:trPr>
          <w:cantSplit/>
          <w:trHeight w:val="639"/>
        </w:trPr>
        <w:tc>
          <w:tcPr>
            <w:tcW w:w="11448" w:type="dxa"/>
            <w:gridSpan w:val="2"/>
            <w:tcBorders>
              <w:top w:val="nil"/>
              <w:left w:val="nil"/>
              <w:bottom w:val="nil"/>
              <w:right w:val="nil"/>
            </w:tcBorders>
          </w:tcPr>
          <w:p w14:paraId="5AA19370" w14:textId="3C44015F" w:rsidR="0056414C" w:rsidRPr="00916D82" w:rsidRDefault="004553BF" w:rsidP="006A6CDD">
            <w:pPr>
              <w:rPr>
                <w:snapToGrid w:val="0"/>
                <w:color w:val="000000"/>
              </w:rPr>
            </w:pPr>
            <w:r>
              <w:rPr>
                <w:rFonts w:ascii="Arial" w:hAnsi="Arial"/>
                <w:b/>
                <w:snapToGrid w:val="0"/>
                <w:color w:val="000000"/>
                <w:sz w:val="18"/>
              </w:rPr>
              <w:lastRenderedPageBreak/>
              <w:t>Syndrome Note</w:t>
            </w:r>
            <w:r w:rsidR="00573B9B">
              <w:rPr>
                <w:rFonts w:ascii="Arial" w:hAnsi="Arial"/>
                <w:b/>
                <w:snapToGrid w:val="0"/>
                <w:color w:val="000000"/>
                <w:sz w:val="18"/>
              </w:rPr>
              <w:t xml:space="preserve">: </w:t>
            </w:r>
            <w:r w:rsidR="00573B9B" w:rsidRPr="00573B9B">
              <w:rPr>
                <w:rFonts w:ascii="Arial" w:hAnsi="Arial"/>
                <w:bCs/>
                <w:snapToGrid w:val="0"/>
                <w:color w:val="000000"/>
                <w:sz w:val="18"/>
              </w:rPr>
              <w:t>This medication can cause myelodysplastic syndrome</w:t>
            </w:r>
            <w:r w:rsidR="00573B9B" w:rsidRPr="00573B9B">
              <w:rPr>
                <w:rFonts w:ascii="Arial" w:hAnsi="Arial"/>
                <w:b/>
                <w:snapToGrid w:val="0"/>
                <w:color w:val="000000"/>
                <w:sz w:val="18"/>
              </w:rPr>
              <w:t>.</w:t>
            </w:r>
          </w:p>
        </w:tc>
      </w:tr>
      <w:tr w:rsidR="003379BD" w14:paraId="09413AEF" w14:textId="77777777" w:rsidTr="000C3F4C">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0C3F4C">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7C4B40">
              <w:rPr>
                <w:rFonts w:ascii="Arial" w:hAnsi="Arial"/>
                <w:sz w:val="18"/>
              </w:rPr>
            </w:r>
            <w:r w:rsidR="007C4B4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8CBB" w14:textId="77777777" w:rsidR="003F6E6D" w:rsidRDefault="003F6E6D" w:rsidP="007A6FC3">
      <w:r>
        <w:separator/>
      </w:r>
    </w:p>
  </w:endnote>
  <w:endnote w:type="continuationSeparator" w:id="0">
    <w:p w14:paraId="46321E0C" w14:textId="77777777" w:rsidR="003F6E6D" w:rsidRDefault="003F6E6D"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0AC9" w14:textId="77777777" w:rsidR="003F6E6D" w:rsidRDefault="003F6E6D" w:rsidP="007A6FC3">
      <w:r>
        <w:separator/>
      </w:r>
    </w:p>
  </w:footnote>
  <w:footnote w:type="continuationSeparator" w:id="0">
    <w:p w14:paraId="2F6571E9" w14:textId="77777777" w:rsidR="003F6E6D" w:rsidRDefault="003F6E6D"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EE63A75"/>
    <w:multiLevelType w:val="hybridMultilevel"/>
    <w:tmpl w:val="F95C0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72B66EA0"/>
    <w:multiLevelType w:val="hybridMultilevel"/>
    <w:tmpl w:val="596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E3D91"/>
    <w:multiLevelType w:val="hybridMultilevel"/>
    <w:tmpl w:val="FE06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23321">
    <w:abstractNumId w:val="1"/>
  </w:num>
  <w:num w:numId="2" w16cid:durableId="811944852">
    <w:abstractNumId w:val="4"/>
  </w:num>
  <w:num w:numId="3" w16cid:durableId="1457062504">
    <w:abstractNumId w:val="3"/>
  </w:num>
  <w:num w:numId="4" w16cid:durableId="1742480582">
    <w:abstractNumId w:val="0"/>
  </w:num>
  <w:num w:numId="5" w16cid:durableId="187836411">
    <w:abstractNumId w:val="5"/>
  </w:num>
  <w:num w:numId="6" w16cid:durableId="554782609">
    <w:abstractNumId w:val="2"/>
  </w:num>
  <w:num w:numId="7" w16cid:durableId="1727333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fkw8XXbiMpDOP5Fx/pEaDz95lUsiCjSDh0QUWM97a7Bap8MU4aZ2QoWvG2J1FeVAWJHPrrUR3AOke/9k5JfQ==" w:salt="IgMf4CB71hAU5hL6znZz1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C3F4C"/>
    <w:rsid w:val="000D55C9"/>
    <w:rsid w:val="000D7823"/>
    <w:rsid w:val="000F7419"/>
    <w:rsid w:val="00101422"/>
    <w:rsid w:val="001513EB"/>
    <w:rsid w:val="0018307F"/>
    <w:rsid w:val="0021563E"/>
    <w:rsid w:val="00295B89"/>
    <w:rsid w:val="002B7D1C"/>
    <w:rsid w:val="00311731"/>
    <w:rsid w:val="0031599E"/>
    <w:rsid w:val="003379BD"/>
    <w:rsid w:val="003A15FD"/>
    <w:rsid w:val="003B70D9"/>
    <w:rsid w:val="003D356D"/>
    <w:rsid w:val="003E29B2"/>
    <w:rsid w:val="003F6E6D"/>
    <w:rsid w:val="00452A3B"/>
    <w:rsid w:val="004553BF"/>
    <w:rsid w:val="004553F3"/>
    <w:rsid w:val="0047002C"/>
    <w:rsid w:val="004C2872"/>
    <w:rsid w:val="004D379B"/>
    <w:rsid w:val="005325D4"/>
    <w:rsid w:val="00546EF3"/>
    <w:rsid w:val="005508EB"/>
    <w:rsid w:val="0056414C"/>
    <w:rsid w:val="00573B9B"/>
    <w:rsid w:val="005A040C"/>
    <w:rsid w:val="005A70E2"/>
    <w:rsid w:val="005F3D5E"/>
    <w:rsid w:val="00606B81"/>
    <w:rsid w:val="00621771"/>
    <w:rsid w:val="0064565E"/>
    <w:rsid w:val="00653309"/>
    <w:rsid w:val="006600E4"/>
    <w:rsid w:val="00683097"/>
    <w:rsid w:val="006A6CDD"/>
    <w:rsid w:val="006B7A42"/>
    <w:rsid w:val="00775C94"/>
    <w:rsid w:val="007A4D33"/>
    <w:rsid w:val="007A6FC3"/>
    <w:rsid w:val="007C4B40"/>
    <w:rsid w:val="007F2636"/>
    <w:rsid w:val="007F44C1"/>
    <w:rsid w:val="007F6763"/>
    <w:rsid w:val="008109C7"/>
    <w:rsid w:val="0083428C"/>
    <w:rsid w:val="00853512"/>
    <w:rsid w:val="008E0D37"/>
    <w:rsid w:val="00916D82"/>
    <w:rsid w:val="00927055"/>
    <w:rsid w:val="00934FD5"/>
    <w:rsid w:val="00952CC5"/>
    <w:rsid w:val="0097066A"/>
    <w:rsid w:val="00A05C70"/>
    <w:rsid w:val="00A07661"/>
    <w:rsid w:val="00A52439"/>
    <w:rsid w:val="00A60207"/>
    <w:rsid w:val="00AA7ED4"/>
    <w:rsid w:val="00AB03AF"/>
    <w:rsid w:val="00AB1650"/>
    <w:rsid w:val="00B23CEC"/>
    <w:rsid w:val="00B47C64"/>
    <w:rsid w:val="00B82162"/>
    <w:rsid w:val="00B83999"/>
    <w:rsid w:val="00B95AFB"/>
    <w:rsid w:val="00C0212B"/>
    <w:rsid w:val="00C154C2"/>
    <w:rsid w:val="00C65074"/>
    <w:rsid w:val="00C80CB2"/>
    <w:rsid w:val="00CA71B6"/>
    <w:rsid w:val="00CA7C90"/>
    <w:rsid w:val="00CC3BDD"/>
    <w:rsid w:val="00CC7A80"/>
    <w:rsid w:val="00CD526B"/>
    <w:rsid w:val="00CF6BEF"/>
    <w:rsid w:val="00D10507"/>
    <w:rsid w:val="00D52F82"/>
    <w:rsid w:val="00D8455D"/>
    <w:rsid w:val="00DF0FF9"/>
    <w:rsid w:val="00E02750"/>
    <w:rsid w:val="00E7205C"/>
    <w:rsid w:val="00EA1297"/>
    <w:rsid w:val="00EE5A08"/>
    <w:rsid w:val="00EF5F71"/>
    <w:rsid w:val="00EF72A7"/>
    <w:rsid w:val="00F52167"/>
    <w:rsid w:val="00F55DC4"/>
    <w:rsid w:val="00F90072"/>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573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2671</Words>
  <Characters>15868</Characters>
  <Application>Microsoft Office Word</Application>
  <DocSecurity>0</DocSecurity>
  <Lines>255</Lines>
  <Paragraphs>154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4</cp:revision>
  <cp:lastPrinted>2008-02-05T17:04:00Z</cp:lastPrinted>
  <dcterms:created xsi:type="dcterms:W3CDTF">2024-09-09T17:15:00Z</dcterms:created>
  <dcterms:modified xsi:type="dcterms:W3CDTF">2024-09-09T17:27:00Z</dcterms:modified>
</cp:coreProperties>
</file>