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07B0E36F"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7D63BFBB"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4F713B" w:rsidRPr="004F713B">
              <w:rPr>
                <w:sz w:val="22"/>
              </w:rPr>
              <w:t>Vesicular monoamine transporter 2 (VMAT2) inhibitors</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3A3E8B42"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37711E" w:rsidRPr="0037711E">
              <w:rPr>
                <w:sz w:val="22"/>
              </w:rPr>
              <w:t xml:space="preserve"> Austedo®, Austedo XR®</w:t>
            </w:r>
            <w:r>
              <w:rPr>
                <w:sz w:val="22"/>
              </w:rPr>
              <w:fldChar w:fldCharType="end"/>
            </w:r>
            <w:bookmarkEnd w:id="8"/>
          </w:p>
          <w:p w14:paraId="7A26C4B6" w14:textId="02952984"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421914">
              <w:rPr>
                <w:sz w:val="22"/>
              </w:rPr>
              <w:t>d</w:t>
            </w:r>
            <w:r w:rsidR="004F713B">
              <w:rPr>
                <w:noProof/>
                <w:sz w:val="22"/>
              </w:rPr>
              <w:t>eutetrabenazine</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21DDD16C" w:rsidR="003379BD" w:rsidRDefault="006A6CDD">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930F81">
              <w:rPr>
                <w:sz w:val="22"/>
              </w:rPr>
              <w:t xml:space="preserve">Immediate release tablets: </w:t>
            </w:r>
            <w:r w:rsidR="004F713B" w:rsidRPr="004F713B">
              <w:rPr>
                <w:noProof/>
                <w:sz w:val="22"/>
              </w:rPr>
              <w:t>6 mg orally twice daily</w:t>
            </w:r>
            <w:r w:rsidR="004F713B">
              <w:rPr>
                <w:noProof/>
                <w:sz w:val="22"/>
              </w:rPr>
              <w:t xml:space="preserve"> with a maximum dose of 48</w:t>
            </w:r>
            <w:r w:rsidR="00421914">
              <w:rPr>
                <w:noProof/>
                <w:sz w:val="22"/>
              </w:rPr>
              <w:t xml:space="preserve"> </w:t>
            </w:r>
            <w:r w:rsidR="004F713B">
              <w:rPr>
                <w:noProof/>
                <w:sz w:val="22"/>
              </w:rPr>
              <w:t>mg/day</w:t>
            </w:r>
            <w:r w:rsidR="00951AB1">
              <w:rPr>
                <w:noProof/>
                <w:sz w:val="22"/>
              </w:rPr>
              <w:t xml:space="preserve"> for</w:t>
            </w:r>
            <w:r w:rsidR="0053328C">
              <w:rPr>
                <w:noProof/>
                <w:sz w:val="22"/>
              </w:rPr>
              <w:t xml:space="preserve"> t</w:t>
            </w:r>
            <w:r w:rsidR="00951AB1" w:rsidRPr="00951AB1">
              <w:rPr>
                <w:noProof/>
                <w:sz w:val="22"/>
              </w:rPr>
              <w:t>ardive dyskinesia</w:t>
            </w:r>
            <w:r w:rsidR="00951AB1">
              <w:rPr>
                <w:noProof/>
                <w:sz w:val="22"/>
              </w:rPr>
              <w:t>.</w:t>
            </w:r>
            <w:r w:rsidR="00930F81">
              <w:rPr>
                <w:noProof/>
                <w:sz w:val="22"/>
              </w:rPr>
              <w:br/>
              <w:t>Extended release tablets: 1</w:t>
            </w:r>
            <w:r w:rsidR="00930F81" w:rsidRPr="00930F81">
              <w:rPr>
                <w:noProof/>
                <w:sz w:val="22"/>
              </w:rPr>
              <w:t>2 mg orally once daily</w:t>
            </w:r>
            <w:r w:rsidR="00930F81">
              <w:rPr>
                <w:noProof/>
                <w:sz w:val="22"/>
              </w:rPr>
              <w:t xml:space="preserve"> with a maximum dose of 48</w:t>
            </w:r>
            <w:r w:rsidR="00421914">
              <w:rPr>
                <w:noProof/>
                <w:sz w:val="22"/>
              </w:rPr>
              <w:t xml:space="preserve"> </w:t>
            </w:r>
            <w:r w:rsidR="00930F81">
              <w:rPr>
                <w:noProof/>
                <w:sz w:val="22"/>
              </w:rPr>
              <w:t>mg/day.</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A417E2">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A417E2">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A417E2">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CF093E">
        <w:trPr>
          <w:cantSplit/>
          <w:trHeight w:val="864"/>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CF093E">
        <w:trPr>
          <w:cantSplit/>
          <w:trHeight w:val="864"/>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CF093E">
            <w:pPr>
              <w:pStyle w:val="Heading4"/>
              <w:keepNext w:val="0"/>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CF093E">
            <w:pPr>
              <w:pStyle w:val="Heading4"/>
              <w:keepNext w:val="0"/>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A417E2">
              <w:rPr>
                <w:b w:val="0"/>
              </w:rPr>
            </w:r>
            <w:r w:rsidR="00A417E2">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CF093E">
            <w:pPr>
              <w:pStyle w:val="Heading4"/>
              <w:keepNext w:val="0"/>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A417E2">
              <w:rPr>
                <w:b w:val="0"/>
              </w:rPr>
            </w:r>
            <w:r w:rsidR="00A417E2">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CF093E">
            <w:pPr>
              <w:pStyle w:val="Heading4"/>
              <w:keepNext w:val="0"/>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A417E2">
              <w:rPr>
                <w:b w:val="0"/>
              </w:rPr>
            </w:r>
            <w:r w:rsidR="00A417E2">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rsidP="00CF093E">
            <w:pPr>
              <w:pStyle w:val="Heading4"/>
              <w:keepNext w:val="0"/>
              <w:tabs>
                <w:tab w:val="left" w:pos="540"/>
              </w:tabs>
              <w:jc w:val="left"/>
            </w:pPr>
          </w:p>
        </w:tc>
        <w:tc>
          <w:tcPr>
            <w:tcW w:w="3816" w:type="dxa"/>
            <w:gridSpan w:val="5"/>
            <w:tcBorders>
              <w:top w:val="nil"/>
              <w:left w:val="nil"/>
              <w:bottom w:val="nil"/>
              <w:right w:val="nil"/>
            </w:tcBorders>
          </w:tcPr>
          <w:p w14:paraId="31F5C598" w14:textId="77777777" w:rsidR="003379BD" w:rsidRDefault="003379BD" w:rsidP="00CF093E">
            <w:pPr>
              <w:pStyle w:val="Heading4"/>
              <w:keepNext w:val="0"/>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rsidP="00CF093E">
            <w:pPr>
              <w:pStyle w:val="Heading4"/>
              <w:keepNext w:val="0"/>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rsidP="00CF093E">
            <w:pPr>
              <w:pStyle w:val="Heading4"/>
              <w:keepNext w:val="0"/>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rsidP="00CF093E">
            <w:pPr>
              <w:pStyle w:val="Heading4"/>
              <w:keepNext w:val="0"/>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rsidP="00CF093E">
            <w:pPr>
              <w:pStyle w:val="Heading4"/>
              <w:keepNext w:val="0"/>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A417E2">
              <w:rPr>
                <w:b w:val="0"/>
              </w:rPr>
            </w:r>
            <w:r w:rsidR="00A417E2">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rsidP="00CF093E">
            <w:pPr>
              <w:pStyle w:val="Heading4"/>
              <w:keepNext w:val="0"/>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A417E2">
              <w:rPr>
                <w:b w:val="0"/>
              </w:rPr>
            </w:r>
            <w:r w:rsidR="00A417E2">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rsidP="00CF093E">
            <w:pPr>
              <w:pStyle w:val="Heading4"/>
              <w:keepNext w:val="0"/>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A417E2">
              <w:rPr>
                <w:b w:val="0"/>
              </w:rPr>
            </w:r>
            <w:r w:rsidR="00A417E2">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rsidP="00CF093E">
            <w:pPr>
              <w:pStyle w:val="Heading4"/>
              <w:keepNext w:val="0"/>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A417E2">
              <w:rPr>
                <w:b w:val="0"/>
              </w:rPr>
            </w:r>
            <w:r w:rsidR="00A417E2">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rsidP="00CF093E">
            <w:pPr>
              <w:pStyle w:val="Heading4"/>
              <w:keepNext w:val="0"/>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A417E2">
              <w:rPr>
                <w:b w:val="0"/>
              </w:rPr>
            </w:r>
            <w:r w:rsidR="00A417E2">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rsidP="00CF093E">
            <w:pPr>
              <w:pStyle w:val="Heading4"/>
              <w:keepNext w:val="0"/>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A417E2">
              <w:rPr>
                <w:b w:val="0"/>
              </w:rPr>
            </w:r>
            <w:r w:rsidR="00A417E2">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rsidP="00CF093E">
            <w:pPr>
              <w:pStyle w:val="Heading4"/>
              <w:keepNext w:val="0"/>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A417E2">
              <w:rPr>
                <w:b w:val="0"/>
              </w:rPr>
            </w:r>
            <w:r w:rsidR="00A417E2">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rsidP="00CF093E">
            <w:pPr>
              <w:pStyle w:val="Heading4"/>
              <w:keepNext w:val="0"/>
              <w:tabs>
                <w:tab w:val="left" w:pos="540"/>
              </w:tabs>
              <w:spacing w:before="0"/>
              <w:jc w:val="left"/>
              <w:rPr>
                <w:b w:val="0"/>
              </w:rPr>
            </w:pPr>
          </w:p>
        </w:tc>
      </w:tr>
      <w:bookmarkEnd w:id="24"/>
      <w:tr w:rsidR="003379BD" w14:paraId="17A637BC" w14:textId="77777777" w:rsidTr="00CF093E">
        <w:trPr>
          <w:cantSplit/>
          <w:trHeight w:hRule="exact" w:val="864"/>
        </w:trPr>
        <w:tc>
          <w:tcPr>
            <w:tcW w:w="11448" w:type="dxa"/>
            <w:gridSpan w:val="10"/>
            <w:tcBorders>
              <w:top w:val="nil"/>
              <w:left w:val="nil"/>
              <w:bottom w:val="single" w:sz="4" w:space="0" w:color="auto"/>
              <w:right w:val="nil"/>
            </w:tcBorders>
          </w:tcPr>
          <w:p w14:paraId="75AD626F" w14:textId="2401592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sidR="00D1531B">
              <w:rPr>
                <w:noProof/>
                <w:sz w:val="22"/>
              </w:rPr>
              <w:t> </w:t>
            </w:r>
            <w:r w:rsidR="00D1531B">
              <w:rPr>
                <w:noProof/>
                <w:sz w:val="22"/>
              </w:rPr>
              <w:t> </w:t>
            </w:r>
            <w:r w:rsidR="00D1531B">
              <w:rPr>
                <w:noProof/>
                <w:sz w:val="22"/>
              </w:rPr>
              <w:t> </w:t>
            </w:r>
            <w:r w:rsidR="00D1531B">
              <w:rPr>
                <w:noProof/>
                <w:sz w:val="22"/>
              </w:rPr>
              <w:t> </w:t>
            </w:r>
            <w:r w:rsidR="00D1531B">
              <w:rPr>
                <w:noProof/>
                <w:sz w:val="22"/>
              </w:rPr>
              <w:t> </w:t>
            </w:r>
            <w:r>
              <w:rPr>
                <w:noProof/>
                <w:sz w:val="22"/>
              </w:rPr>
              <w:fldChar w:fldCharType="end"/>
            </w:r>
            <w:bookmarkEnd w:id="32"/>
          </w:p>
        </w:tc>
      </w:tr>
      <w:tr w:rsidR="003379BD" w14:paraId="5C2B24BD" w14:textId="77777777" w:rsidTr="00CF093E">
        <w:trPr>
          <w:cantSplit/>
          <w:trHeight w:hRule="exact" w:val="432"/>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CF093E">
            <w:pPr>
              <w:pStyle w:val="Heading4"/>
              <w:keepNext w:val="0"/>
              <w:tabs>
                <w:tab w:val="left" w:pos="540"/>
              </w:tabs>
              <w:spacing w:before="0"/>
              <w:ind w:left="547" w:hanging="547"/>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09297977"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B162F2" w:rsidRPr="00B162F2">
              <w:rPr>
                <w:sz w:val="22"/>
              </w:rPr>
              <w:t xml:space="preserve"> Austedo®,  Austedo XR®</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421914">
              <w:rPr>
                <w:sz w:val="22"/>
              </w:rPr>
              <w:t>d</w:t>
            </w:r>
            <w:r w:rsidR="00951AB1" w:rsidRPr="00951AB1">
              <w:rPr>
                <w:noProof/>
                <w:sz w:val="22"/>
              </w:rPr>
              <w:t>eutetrabenazine</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CF093E">
            <w:pPr>
              <w:pStyle w:val="Heading4"/>
              <w:keepNext w:val="0"/>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CF093E">
            <w:pPr>
              <w:pStyle w:val="Heading6"/>
              <w:keepNext w:val="0"/>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5C7BC91D" w:rsidR="0021563E" w:rsidRPr="00854D3B" w:rsidRDefault="003379BD" w:rsidP="00CF093E">
            <w:pPr>
              <w:pStyle w:val="Heading6"/>
              <w:keepNext w:val="0"/>
              <w:rPr>
                <w:sz w:val="18"/>
                <w:szCs w:val="18"/>
              </w:rPr>
            </w:pPr>
            <w:r w:rsidRPr="0056414C">
              <w:rPr>
                <w:sz w:val="18"/>
                <w:szCs w:val="18"/>
              </w:rPr>
              <w:t>Most Common Side Effects</w:t>
            </w:r>
            <w:r w:rsidR="00854D3B">
              <w:rPr>
                <w:sz w:val="18"/>
                <w:szCs w:val="18"/>
              </w:rPr>
              <w:t xml:space="preserve">: </w:t>
            </w:r>
            <w:r w:rsidR="00312D36" w:rsidRPr="00312D36">
              <w:rPr>
                <w:b w:val="0"/>
                <w:bCs/>
                <w:sz w:val="18"/>
                <w:szCs w:val="18"/>
              </w:rPr>
              <w:t>D</w:t>
            </w:r>
            <w:r w:rsidR="00854D3B" w:rsidRPr="00312D36">
              <w:rPr>
                <w:b w:val="0"/>
                <w:bCs/>
                <w:sz w:val="18"/>
                <w:szCs w:val="18"/>
              </w:rPr>
              <w:t>iarrhea, xerostomia, drowsiness, tiredness</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1C89A45E" w:rsidR="003379BD" w:rsidRDefault="003379BD" w:rsidP="00CF093E">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854D3B">
              <w:rPr>
                <w:rFonts w:ascii="Arial" w:hAnsi="Arial"/>
                <w:b/>
                <w:snapToGrid w:val="0"/>
                <w:color w:val="000000"/>
                <w:sz w:val="18"/>
              </w:rPr>
              <w:t xml:space="preserve">: </w:t>
            </w:r>
            <w:r w:rsidR="00854D3B" w:rsidRPr="00854D3B">
              <w:rPr>
                <w:rFonts w:ascii="Arial" w:hAnsi="Arial"/>
                <w:bCs/>
                <w:snapToGrid w:val="0"/>
                <w:color w:val="000000"/>
                <w:sz w:val="18"/>
              </w:rPr>
              <w:t>insomnia, nasopharyngitis, suicidal thoughts, contusion, constipation, agitation, depression, urinary tract infection</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2FB09F09" w:rsidR="003379BD" w:rsidRDefault="003379BD" w:rsidP="00E92146">
            <w:pPr>
              <w:rPr>
                <w:b/>
              </w:rPr>
            </w:pPr>
            <w:r>
              <w:rPr>
                <w:rFonts w:ascii="Arial" w:hAnsi="Arial"/>
                <w:b/>
                <w:sz w:val="18"/>
              </w:rPr>
              <w:t>Rare Side Effects</w:t>
            </w:r>
            <w:r w:rsidR="00854D3B">
              <w:rPr>
                <w:rFonts w:ascii="Arial" w:hAnsi="Arial"/>
                <w:b/>
                <w:sz w:val="18"/>
              </w:rPr>
              <w:t xml:space="preserve">: </w:t>
            </w:r>
            <w:r w:rsidR="00854D3B">
              <w:rPr>
                <w:rFonts w:ascii="Arial" w:hAnsi="Arial"/>
                <w:bCs/>
                <w:sz w:val="18"/>
              </w:rPr>
              <w:t>prolonged QT interval</w:t>
            </w:r>
          </w:p>
        </w:tc>
      </w:tr>
      <w:tr w:rsidR="003379BD" w14:paraId="0666E783" w14:textId="77777777" w:rsidTr="00683097">
        <w:trPr>
          <w:cantSplit/>
          <w:trHeight w:val="576"/>
        </w:trPr>
        <w:tc>
          <w:tcPr>
            <w:tcW w:w="11448" w:type="dxa"/>
            <w:gridSpan w:val="2"/>
            <w:tcBorders>
              <w:top w:val="nil"/>
              <w:left w:val="nil"/>
              <w:bottom w:val="nil"/>
              <w:right w:val="nil"/>
            </w:tcBorders>
          </w:tcPr>
          <w:p w14:paraId="696566FC" w14:textId="437D8563" w:rsidR="00FC2D82" w:rsidRDefault="003379BD" w:rsidP="00CF093E">
            <w:pPr>
              <w:rPr>
                <w:rFonts w:ascii="Arial" w:hAnsi="Arial"/>
                <w:b/>
                <w:snapToGrid w:val="0"/>
                <w:color w:val="000000"/>
                <w:sz w:val="18"/>
              </w:rPr>
            </w:pPr>
            <w:r>
              <w:rPr>
                <w:rFonts w:ascii="Arial" w:hAnsi="Arial"/>
                <w:b/>
                <w:snapToGrid w:val="0"/>
                <w:color w:val="000000"/>
                <w:sz w:val="18"/>
              </w:rPr>
              <w:t>Caution</w:t>
            </w:r>
          </w:p>
          <w:p w14:paraId="02ABC0E2" w14:textId="1170D614" w:rsidR="00FC2D82" w:rsidRPr="00FC2D82" w:rsidRDefault="00FC2D82" w:rsidP="00FC2D82">
            <w:pPr>
              <w:pStyle w:val="ListParagraph"/>
              <w:numPr>
                <w:ilvl w:val="0"/>
                <w:numId w:val="5"/>
              </w:numPr>
              <w:ind w:left="345"/>
              <w:rPr>
                <w:rFonts w:ascii="Arial" w:hAnsi="Arial"/>
                <w:bCs/>
                <w:snapToGrid w:val="0"/>
                <w:color w:val="000000"/>
                <w:sz w:val="18"/>
                <w:szCs w:val="22"/>
              </w:rPr>
            </w:pPr>
            <w:r w:rsidRPr="00E92146">
              <w:rPr>
                <w:rFonts w:ascii="Arial" w:hAnsi="Arial"/>
                <w:b/>
                <w:snapToGrid w:val="0"/>
                <w:color w:val="000000"/>
                <w:sz w:val="18"/>
                <w:szCs w:val="22"/>
              </w:rPr>
              <w:t>Endocrine and metaboli</w:t>
            </w:r>
            <w:r w:rsidR="00E92146" w:rsidRPr="00E92146">
              <w:rPr>
                <w:rFonts w:ascii="Arial" w:hAnsi="Arial"/>
                <w:b/>
                <w:snapToGrid w:val="0"/>
                <w:color w:val="000000"/>
                <w:sz w:val="18"/>
                <w:szCs w:val="22"/>
              </w:rPr>
              <w:t>c</w:t>
            </w:r>
            <w:r w:rsidR="00E92146">
              <w:rPr>
                <w:rFonts w:ascii="Arial" w:hAnsi="Arial"/>
                <w:bCs/>
                <w:snapToGrid w:val="0"/>
                <w:color w:val="000000"/>
                <w:sz w:val="18"/>
                <w:szCs w:val="22"/>
              </w:rPr>
              <w:br/>
            </w:r>
            <w:r w:rsidRPr="00FC2D82">
              <w:rPr>
                <w:rFonts w:ascii="Arial" w:hAnsi="Arial"/>
                <w:bCs/>
                <w:snapToGrid w:val="0"/>
                <w:color w:val="000000"/>
                <w:sz w:val="18"/>
                <w:szCs w:val="22"/>
              </w:rPr>
              <w:t>Hyperprolactinemia has occurred with tetrabenazine.</w:t>
            </w:r>
          </w:p>
          <w:p w14:paraId="08366313" w14:textId="2742D9A8" w:rsidR="00FC2D82" w:rsidRPr="00FC2D82" w:rsidRDefault="00FC2D82" w:rsidP="00FC2D82">
            <w:pPr>
              <w:pStyle w:val="ListParagraph"/>
              <w:numPr>
                <w:ilvl w:val="0"/>
                <w:numId w:val="5"/>
              </w:numPr>
              <w:ind w:left="345"/>
              <w:rPr>
                <w:rFonts w:ascii="Arial" w:hAnsi="Arial"/>
                <w:bCs/>
                <w:snapToGrid w:val="0"/>
                <w:color w:val="000000"/>
                <w:sz w:val="18"/>
                <w:szCs w:val="22"/>
              </w:rPr>
            </w:pPr>
            <w:r w:rsidRPr="00E92146">
              <w:rPr>
                <w:rFonts w:ascii="Arial" w:hAnsi="Arial"/>
                <w:b/>
                <w:snapToGrid w:val="0"/>
                <w:color w:val="000000"/>
                <w:sz w:val="18"/>
                <w:szCs w:val="22"/>
              </w:rPr>
              <w:t>Neurologic</w:t>
            </w:r>
            <w:r w:rsidR="00E92146">
              <w:rPr>
                <w:rFonts w:ascii="Arial" w:hAnsi="Arial"/>
                <w:bCs/>
                <w:snapToGrid w:val="0"/>
                <w:color w:val="000000"/>
                <w:sz w:val="18"/>
                <w:szCs w:val="22"/>
              </w:rPr>
              <w:br/>
            </w:r>
            <w:r w:rsidRPr="00FC2D82">
              <w:rPr>
                <w:rFonts w:ascii="Arial" w:hAnsi="Arial"/>
                <w:bCs/>
                <w:snapToGrid w:val="0"/>
                <w:color w:val="000000"/>
                <w:sz w:val="18"/>
                <w:szCs w:val="22"/>
              </w:rPr>
              <w:t>Side effects such as worsening in mood, cognition, rigidity, functional capacity may be difficult to distinguish from disease progression in patients with Huntington disease. Akathisia, agitation, and restlessness have occurred in patients with Huntington disease and tardive dyskinesia. Parkinsonism, difficult to distinguish from disease progression, may occur in patients with Huntington disease and has been reported in patients with tardive dyskinesia; usually occurred within the first 2 weeks of initiation or dosage increases.</w:t>
            </w:r>
          </w:p>
          <w:p w14:paraId="08CCC7B6" w14:textId="588CE16B" w:rsidR="00E92146" w:rsidRPr="00E92146" w:rsidRDefault="00FC2D82" w:rsidP="00E92146">
            <w:pPr>
              <w:pStyle w:val="ListParagraph"/>
              <w:numPr>
                <w:ilvl w:val="0"/>
                <w:numId w:val="5"/>
              </w:numPr>
              <w:ind w:left="345"/>
              <w:rPr>
                <w:rFonts w:ascii="Arial" w:hAnsi="Arial"/>
                <w:bCs/>
                <w:snapToGrid w:val="0"/>
                <w:color w:val="000000"/>
                <w:sz w:val="18"/>
                <w:szCs w:val="22"/>
              </w:rPr>
            </w:pPr>
            <w:r w:rsidRPr="00E92146">
              <w:rPr>
                <w:rFonts w:ascii="Arial" w:hAnsi="Arial"/>
                <w:b/>
                <w:snapToGrid w:val="0"/>
                <w:color w:val="000000"/>
                <w:sz w:val="18"/>
                <w:szCs w:val="22"/>
              </w:rPr>
              <w:t>Ophthalmic</w:t>
            </w:r>
            <w:r w:rsidR="00E92146">
              <w:rPr>
                <w:rFonts w:ascii="Arial" w:hAnsi="Arial"/>
                <w:bCs/>
                <w:snapToGrid w:val="0"/>
                <w:color w:val="000000"/>
                <w:sz w:val="18"/>
                <w:szCs w:val="22"/>
              </w:rPr>
              <w:br/>
            </w:r>
            <w:r w:rsidRPr="00FC2D82">
              <w:rPr>
                <w:rFonts w:ascii="Arial" w:hAnsi="Arial"/>
                <w:bCs/>
                <w:snapToGrid w:val="0"/>
                <w:color w:val="000000"/>
                <w:sz w:val="18"/>
                <w:szCs w:val="22"/>
              </w:rPr>
              <w:t>Drug and metabolites bind to melanin-containing tissue; long-term ophthalmologic effects cannot be ruled out.</w:t>
            </w:r>
          </w:p>
          <w:p w14:paraId="21CE678A" w14:textId="5D1AD0C3" w:rsidR="003379BD" w:rsidRDefault="003379BD" w:rsidP="00CF093E">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6F5D15FA" w14:textId="77777777" w:rsidR="00845EE4" w:rsidRDefault="003379BD" w:rsidP="00E92146">
            <w:pPr>
              <w:rPr>
                <w:rFonts w:ascii="Arial" w:hAnsi="Arial"/>
                <w:b/>
                <w:snapToGrid w:val="0"/>
                <w:color w:val="000000"/>
                <w:sz w:val="18"/>
              </w:rPr>
            </w:pPr>
            <w:r>
              <w:rPr>
                <w:rFonts w:ascii="Arial" w:hAnsi="Arial"/>
                <w:b/>
                <w:snapToGrid w:val="0"/>
                <w:color w:val="000000"/>
                <w:sz w:val="18"/>
              </w:rPr>
              <w:t>Warning</w:t>
            </w:r>
            <w:r w:rsidR="00E92146">
              <w:rPr>
                <w:rFonts w:ascii="Arial" w:hAnsi="Arial"/>
                <w:b/>
                <w:snapToGrid w:val="0"/>
                <w:color w:val="000000"/>
                <w:sz w:val="18"/>
              </w:rPr>
              <w:t xml:space="preserve">: </w:t>
            </w:r>
          </w:p>
          <w:p w14:paraId="3936C198" w14:textId="0EC9D0D4" w:rsidR="00E92146" w:rsidRPr="00E92146" w:rsidRDefault="00E92146" w:rsidP="00E92146">
            <w:pPr>
              <w:rPr>
                <w:rFonts w:ascii="Arial" w:hAnsi="Arial"/>
                <w:b/>
                <w:snapToGrid w:val="0"/>
                <w:color w:val="000000"/>
                <w:sz w:val="18"/>
              </w:rPr>
            </w:pPr>
            <w:r w:rsidRPr="00E92146">
              <w:rPr>
                <w:rFonts w:ascii="Arial" w:hAnsi="Arial"/>
                <w:b/>
                <w:snapToGrid w:val="0"/>
                <w:color w:val="000000"/>
                <w:sz w:val="18"/>
              </w:rPr>
              <w:t>Black Box Warning: Oral (Extended Release and Immediate Release tablets)</w:t>
            </w:r>
          </w:p>
          <w:p w14:paraId="04ADA7A8" w14:textId="77777777" w:rsidR="00E92146" w:rsidRPr="00E92146" w:rsidRDefault="00E92146" w:rsidP="00E92146">
            <w:pPr>
              <w:rPr>
                <w:rFonts w:ascii="Arial" w:hAnsi="Arial"/>
                <w:bCs/>
                <w:snapToGrid w:val="0"/>
                <w:color w:val="000000"/>
                <w:sz w:val="18"/>
              </w:rPr>
            </w:pPr>
            <w:r w:rsidRPr="00E92146">
              <w:rPr>
                <w:rFonts w:ascii="Arial" w:hAnsi="Arial"/>
                <w:bCs/>
                <w:snapToGrid w:val="0"/>
                <w:color w:val="000000"/>
                <w:sz w:val="18"/>
              </w:rPr>
              <w:t>Depression and Suicidality in Patients with Huntington's Disease: This medication can increase the risk of depression and suicidal thoughts and behavior (suicidality) in patients with Huntington disease. Anyone considering the use of deutetrabenazine extended release tablets or deutetrabenazine tablets must balance the risks of depression and suicidality with the clinical need for treatment of chorea. Closely monitor for the emergence or worsening of depression, suicidality, or unusual changes in behavior. Report behaviors of concern promptly to the treating physician. Deutetrabenazine extended release tablets and deutetrabenazine tablets are contraindicated in patients who are suicidal, and in patients with untreated or inadequately treated depression.</w:t>
            </w:r>
          </w:p>
          <w:p w14:paraId="34CC3FEB" w14:textId="1D086DA2" w:rsidR="003379BD" w:rsidRDefault="003379BD" w:rsidP="00CF093E">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1788895E" w:rsidR="0056414C" w:rsidRPr="00916D82" w:rsidRDefault="004553BF" w:rsidP="00CF093E">
            <w:pPr>
              <w:rPr>
                <w:snapToGrid w:val="0"/>
                <w:color w:val="000000"/>
              </w:rPr>
            </w:pPr>
            <w:r>
              <w:rPr>
                <w:rFonts w:ascii="Arial" w:hAnsi="Arial"/>
                <w:b/>
                <w:snapToGrid w:val="0"/>
                <w:color w:val="000000"/>
                <w:sz w:val="18"/>
              </w:rPr>
              <w:t>Syndrome Note</w:t>
            </w:r>
            <w:r w:rsidR="00E92146">
              <w:rPr>
                <w:rFonts w:ascii="Arial" w:hAnsi="Arial"/>
                <w:b/>
                <w:snapToGrid w:val="0"/>
                <w:color w:val="000000"/>
                <w:sz w:val="18"/>
              </w:rPr>
              <w:t xml:space="preserve">: </w:t>
            </w:r>
            <w:r w:rsidR="00E92146" w:rsidRPr="00E92146">
              <w:rPr>
                <w:rFonts w:ascii="Arial" w:hAnsi="Arial"/>
                <w:bCs/>
                <w:snapToGrid w:val="0"/>
                <w:color w:val="000000"/>
                <w:sz w:val="18"/>
              </w:rPr>
              <w:t>Neuroleptic malignant syndrome has occurred with tetrabenazine</w:t>
            </w:r>
            <w:r w:rsidR="00E92146" w:rsidRPr="00916D82">
              <w:rPr>
                <w:snapToGrid w:val="0"/>
                <w:color w:val="000000"/>
              </w:rPr>
              <w:t xml:space="preserve"> </w:t>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CF093E">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7B5695">
            <w:pPr>
              <w:pStyle w:val="BodyText"/>
              <w:keepN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7B5695">
            <w:pPr>
              <w:pStyle w:val="BodyTextIndent2"/>
              <w:keepNext/>
              <w:pageBreakBefore/>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7B5695">
            <w:pPr>
              <w:keepNext/>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7B5695">
            <w:pPr>
              <w:keepNext/>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7B5695">
            <w:pPr>
              <w:keepNext/>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7B5695">
            <w:pPr>
              <w:keepNext/>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7B5695">
            <w:pPr>
              <w:keepNext/>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7B5695">
            <w:pPr>
              <w:keepNext/>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7B5695">
            <w:pPr>
              <w:keepNext/>
              <w:pageBreakBefore/>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rsidP="007B5695">
            <w:pPr>
              <w:keepNext/>
              <w:pageBreakBefore/>
              <w:tabs>
                <w:tab w:val="left" w:pos="360"/>
                <w:tab w:val="left" w:pos="630"/>
              </w:tabs>
              <w:rPr>
                <w:rFonts w:ascii="Arial" w:hAnsi="Arial"/>
                <w:sz w:val="10"/>
              </w:rPr>
            </w:pPr>
          </w:p>
        </w:tc>
      </w:tr>
    </w:tbl>
    <w:p w14:paraId="1F6ED755" w14:textId="77777777" w:rsidR="0021563E" w:rsidRPr="00546EF3" w:rsidRDefault="0021563E" w:rsidP="007B5695">
      <w:pPr>
        <w:keepNext/>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rsidP="007B5695">
            <w:pPr>
              <w:keepNext/>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7B5695">
            <w:pPr>
              <w:keepNext/>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7B5695">
            <w:pPr>
              <w:keepNext/>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7B5695">
            <w:pPr>
              <w:keepNext/>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7F253BC8" w14:textId="77777777" w:rsidR="003379BD" w:rsidRDefault="003379BD" w:rsidP="007B5695">
            <w:pPr>
              <w:keepNext/>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rsidP="007B5695">
            <w:pPr>
              <w:keepNext/>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7B5695">
            <w:pPr>
              <w:keepNext/>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rsidP="007B5695">
            <w:pPr>
              <w:keepNext/>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rsidP="007B5695">
            <w:pPr>
              <w:keepNext/>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rsidP="007B5695">
            <w:pPr>
              <w:keepNext/>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7B5695">
            <w:pPr>
              <w:keepNext/>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7B5695">
            <w:pPr>
              <w:pStyle w:val="BodyText2"/>
              <w:keepNext/>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7B5695">
            <w:pPr>
              <w:pStyle w:val="BodyText2"/>
              <w:keepNext/>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7B5695">
            <w:pPr>
              <w:pStyle w:val="BodyText2"/>
              <w:keepNext/>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7B5695">
            <w:pPr>
              <w:pStyle w:val="BodyText2"/>
              <w:keepNext/>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A417E2">
              <w:rPr>
                <w:rFonts w:ascii="Arial" w:hAnsi="Arial"/>
                <w:sz w:val="18"/>
              </w:rPr>
            </w:r>
            <w:r w:rsidR="00A417E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7B5695">
            <w:pPr>
              <w:pStyle w:val="BodyText2"/>
              <w:keepNext/>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7B5695">
            <w:pPr>
              <w:pStyle w:val="BodyText2"/>
              <w:keepNext/>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7B5695">
            <w:pPr>
              <w:pStyle w:val="BodyText2"/>
              <w:keepNext/>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rsidP="007B5695">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DB8B" w14:textId="77777777" w:rsidR="004E37F9" w:rsidRDefault="004E37F9" w:rsidP="007A6FC3">
      <w:r>
        <w:separator/>
      </w:r>
    </w:p>
  </w:endnote>
  <w:endnote w:type="continuationSeparator" w:id="0">
    <w:p w14:paraId="408718F2" w14:textId="77777777" w:rsidR="004E37F9" w:rsidRDefault="004E37F9"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04A8" w14:textId="77777777" w:rsidR="004E37F9" w:rsidRDefault="004E37F9" w:rsidP="007A6FC3">
      <w:r>
        <w:separator/>
      </w:r>
    </w:p>
  </w:footnote>
  <w:footnote w:type="continuationSeparator" w:id="0">
    <w:p w14:paraId="7B160AF2" w14:textId="77777777" w:rsidR="004E37F9" w:rsidRDefault="004E37F9"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4380D14"/>
    <w:multiLevelType w:val="hybridMultilevel"/>
    <w:tmpl w:val="EE62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2"/>
  </w:num>
  <w:num w:numId="2" w16cid:durableId="811944852">
    <w:abstractNumId w:val="4"/>
  </w:num>
  <w:num w:numId="3" w16cid:durableId="1457062504">
    <w:abstractNumId w:val="3"/>
  </w:num>
  <w:num w:numId="4" w16cid:durableId="1742480582">
    <w:abstractNumId w:val="0"/>
  </w:num>
  <w:num w:numId="5" w16cid:durableId="1710956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wnYH1jlI4FfjLpTxeh7Nolr9Cl3O2ZP2Uh2zQHG1Zd+n7pKgJMrvs2CsUJDuX3IedwYpNLEQEfuAQ9YvDwTQ==" w:salt="J+2aWc5Xo8RAgIaN8BPUL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8307F"/>
    <w:rsid w:val="001D342E"/>
    <w:rsid w:val="001E33A6"/>
    <w:rsid w:val="0021563E"/>
    <w:rsid w:val="00295B89"/>
    <w:rsid w:val="002C6EFF"/>
    <w:rsid w:val="00311731"/>
    <w:rsid w:val="00312D36"/>
    <w:rsid w:val="0031599E"/>
    <w:rsid w:val="003379BD"/>
    <w:rsid w:val="0037711E"/>
    <w:rsid w:val="003A15FD"/>
    <w:rsid w:val="003B70D9"/>
    <w:rsid w:val="003D356D"/>
    <w:rsid w:val="003E29B2"/>
    <w:rsid w:val="00421914"/>
    <w:rsid w:val="004553BF"/>
    <w:rsid w:val="0047002C"/>
    <w:rsid w:val="004C2872"/>
    <w:rsid w:val="004D379B"/>
    <w:rsid w:val="004E37F9"/>
    <w:rsid w:val="004F713B"/>
    <w:rsid w:val="005325D4"/>
    <w:rsid w:val="0053328C"/>
    <w:rsid w:val="00546EF3"/>
    <w:rsid w:val="005508EB"/>
    <w:rsid w:val="0056414C"/>
    <w:rsid w:val="00576E60"/>
    <w:rsid w:val="005A70E2"/>
    <w:rsid w:val="005B7378"/>
    <w:rsid w:val="005C7C20"/>
    <w:rsid w:val="005F3D5E"/>
    <w:rsid w:val="00606B81"/>
    <w:rsid w:val="00621771"/>
    <w:rsid w:val="0064565E"/>
    <w:rsid w:val="00653309"/>
    <w:rsid w:val="00671A07"/>
    <w:rsid w:val="00683097"/>
    <w:rsid w:val="006955B7"/>
    <w:rsid w:val="006A6CDD"/>
    <w:rsid w:val="006B7A42"/>
    <w:rsid w:val="007311BA"/>
    <w:rsid w:val="007738BE"/>
    <w:rsid w:val="00775C94"/>
    <w:rsid w:val="007A6FC3"/>
    <w:rsid w:val="007B5695"/>
    <w:rsid w:val="007C42BA"/>
    <w:rsid w:val="007F44C1"/>
    <w:rsid w:val="00845EE4"/>
    <w:rsid w:val="00854D3B"/>
    <w:rsid w:val="008645F7"/>
    <w:rsid w:val="00890E7A"/>
    <w:rsid w:val="008C1BE2"/>
    <w:rsid w:val="008E0D37"/>
    <w:rsid w:val="00916D82"/>
    <w:rsid w:val="00927055"/>
    <w:rsid w:val="00930F81"/>
    <w:rsid w:val="00934FD5"/>
    <w:rsid w:val="00951AB1"/>
    <w:rsid w:val="00A05C70"/>
    <w:rsid w:val="00A417E2"/>
    <w:rsid w:val="00A46719"/>
    <w:rsid w:val="00A60207"/>
    <w:rsid w:val="00AA7ED4"/>
    <w:rsid w:val="00AB1650"/>
    <w:rsid w:val="00B162F2"/>
    <w:rsid w:val="00B23CEC"/>
    <w:rsid w:val="00B47C64"/>
    <w:rsid w:val="00B82162"/>
    <w:rsid w:val="00B83999"/>
    <w:rsid w:val="00CA71B6"/>
    <w:rsid w:val="00CA7C90"/>
    <w:rsid w:val="00CC7A80"/>
    <w:rsid w:val="00CF093E"/>
    <w:rsid w:val="00D1531B"/>
    <w:rsid w:val="00D34857"/>
    <w:rsid w:val="00DF0FF9"/>
    <w:rsid w:val="00E02750"/>
    <w:rsid w:val="00E7205C"/>
    <w:rsid w:val="00E92146"/>
    <w:rsid w:val="00E95EF8"/>
    <w:rsid w:val="00EA1297"/>
    <w:rsid w:val="00EA51B8"/>
    <w:rsid w:val="00EE5A08"/>
    <w:rsid w:val="00EF5F71"/>
    <w:rsid w:val="00F55DC4"/>
    <w:rsid w:val="00FC2D82"/>
    <w:rsid w:val="00FD0FE3"/>
    <w:rsid w:val="00FE1B4B"/>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paragraph" w:styleId="ListParagraph">
    <w:name w:val="List Paragraph"/>
    <w:basedOn w:val="Normal"/>
    <w:uiPriority w:val="34"/>
    <w:qFormat/>
    <w:rsid w:val="00FC2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1343</Words>
  <Characters>7737</Characters>
  <Application>Microsoft Office Word</Application>
  <DocSecurity>0</DocSecurity>
  <Lines>175</Lines>
  <Paragraphs>129</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11</cp:revision>
  <cp:lastPrinted>2008-02-05T17:04:00Z</cp:lastPrinted>
  <dcterms:created xsi:type="dcterms:W3CDTF">2024-08-21T13:45:00Z</dcterms:created>
  <dcterms:modified xsi:type="dcterms:W3CDTF">2024-09-06T18:42:00Z</dcterms:modified>
</cp:coreProperties>
</file>