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40B" w14:textId="5C64A0B3" w:rsidR="007106DB" w:rsidRPr="00830B93" w:rsidRDefault="007106DB" w:rsidP="005A7E2D">
      <w:pPr>
        <w:tabs>
          <w:tab w:val="right" w:pos="10800"/>
        </w:tabs>
        <w:spacing w:after="0" w:line="240" w:lineRule="auto"/>
        <w:rPr>
          <w:rFonts w:ascii="Arial" w:hAnsi="Arial" w:cs="Arial"/>
          <w:b/>
          <w:sz w:val="20"/>
          <w:szCs w:val="20"/>
        </w:rPr>
      </w:pPr>
      <w:r w:rsidRPr="00830B93">
        <w:rPr>
          <w:rFonts w:ascii="Arial" w:hAnsi="Arial" w:cs="Arial"/>
          <w:b/>
          <w:sz w:val="20"/>
          <w:szCs w:val="20"/>
        </w:rPr>
        <w:t>DEPARTMENT OF HEALTH SERVICES</w:t>
      </w:r>
      <w:r w:rsidRPr="00830B93">
        <w:rPr>
          <w:rFonts w:ascii="Arial" w:hAnsi="Arial" w:cs="Arial"/>
          <w:b/>
          <w:sz w:val="20"/>
          <w:szCs w:val="20"/>
        </w:rPr>
        <w:tab/>
        <w:t>STATE OF WISCONSIN</w:t>
      </w:r>
    </w:p>
    <w:p w14:paraId="133ED3DF" w14:textId="77777777" w:rsidR="007106DB" w:rsidRPr="00830B93" w:rsidRDefault="007106DB" w:rsidP="005A7E2D">
      <w:pPr>
        <w:pStyle w:val="Header"/>
        <w:spacing w:after="0" w:line="240" w:lineRule="auto"/>
        <w:rPr>
          <w:rFonts w:ascii="Arial" w:hAnsi="Arial" w:cs="Arial"/>
          <w:sz w:val="20"/>
          <w:szCs w:val="20"/>
        </w:rPr>
      </w:pPr>
      <w:r w:rsidRPr="00830B93">
        <w:rPr>
          <w:rFonts w:ascii="Arial" w:hAnsi="Arial" w:cs="Arial"/>
          <w:sz w:val="20"/>
          <w:szCs w:val="20"/>
        </w:rPr>
        <w:t>Division of Care and Treatment Services</w:t>
      </w:r>
    </w:p>
    <w:p w14:paraId="24552DCA" w14:textId="6DB45526" w:rsidR="00520206" w:rsidRPr="00830B93" w:rsidRDefault="007106DB" w:rsidP="005A7E2D">
      <w:pPr>
        <w:spacing w:after="0" w:line="240" w:lineRule="auto"/>
        <w:rPr>
          <w:rFonts w:ascii="Arial" w:hAnsi="Arial" w:cs="Arial"/>
          <w:sz w:val="20"/>
          <w:szCs w:val="20"/>
        </w:rPr>
      </w:pPr>
      <w:r w:rsidRPr="00830B93">
        <w:rPr>
          <w:rFonts w:ascii="Arial" w:hAnsi="Arial" w:cs="Arial"/>
          <w:sz w:val="20"/>
          <w:szCs w:val="20"/>
        </w:rPr>
        <w:t>F-02122 (</w:t>
      </w:r>
      <w:r w:rsidR="006F3CDA">
        <w:rPr>
          <w:rFonts w:ascii="Arial" w:hAnsi="Arial" w:cs="Arial"/>
          <w:sz w:val="20"/>
          <w:szCs w:val="20"/>
        </w:rPr>
        <w:t>0</w:t>
      </w:r>
      <w:r w:rsidR="000351F4">
        <w:rPr>
          <w:rFonts w:ascii="Arial" w:hAnsi="Arial" w:cs="Arial"/>
          <w:sz w:val="20"/>
          <w:szCs w:val="20"/>
        </w:rPr>
        <w:t>8</w:t>
      </w:r>
      <w:r w:rsidRPr="00830B93">
        <w:rPr>
          <w:rFonts w:ascii="Arial" w:hAnsi="Arial" w:cs="Arial"/>
          <w:sz w:val="20"/>
          <w:szCs w:val="20"/>
        </w:rPr>
        <w:t>/2023)</w:t>
      </w:r>
    </w:p>
    <w:p w14:paraId="2B5D461A" w14:textId="77777777" w:rsidR="00631CFB" w:rsidRPr="005A7E2D" w:rsidRDefault="00631CFB" w:rsidP="00631CFB">
      <w:pPr>
        <w:spacing w:after="0"/>
        <w:jc w:val="center"/>
        <w:rPr>
          <w:rFonts w:ascii="Arial" w:hAnsi="Arial" w:cs="Arial"/>
          <w:sz w:val="24"/>
          <w:szCs w:val="24"/>
        </w:rPr>
      </w:pPr>
      <w:r w:rsidRPr="005A7E2D">
        <w:rPr>
          <w:rFonts w:ascii="Arial" w:hAnsi="Arial" w:cs="Arial"/>
          <w:b/>
          <w:sz w:val="24"/>
          <w:szCs w:val="24"/>
        </w:rPr>
        <w:t>GRANT FUNDING REQUEST</w:t>
      </w:r>
    </w:p>
    <w:p w14:paraId="34570F2A" w14:textId="77777777" w:rsidR="00631CFB" w:rsidRPr="005A7E2D" w:rsidRDefault="00631CFB" w:rsidP="00631CFB">
      <w:pPr>
        <w:spacing w:after="0"/>
        <w:jc w:val="center"/>
        <w:rPr>
          <w:rFonts w:ascii="Arial" w:hAnsi="Arial" w:cs="Arial"/>
          <w:b/>
          <w:sz w:val="24"/>
          <w:szCs w:val="24"/>
        </w:rPr>
      </w:pPr>
      <w:r w:rsidRPr="005A7E2D">
        <w:rPr>
          <w:rFonts w:ascii="Arial" w:hAnsi="Arial" w:cs="Arial"/>
          <w:b/>
          <w:sz w:val="24"/>
          <w:szCs w:val="24"/>
        </w:rPr>
        <w:t xml:space="preserve">OPIOID AND STIMULANT UNMET </w:t>
      </w:r>
      <w:r>
        <w:rPr>
          <w:rFonts w:ascii="Arial" w:hAnsi="Arial" w:cs="Arial"/>
          <w:b/>
          <w:sz w:val="24"/>
          <w:szCs w:val="24"/>
        </w:rPr>
        <w:t xml:space="preserve">TREATMENT </w:t>
      </w:r>
      <w:r w:rsidRPr="005A7E2D">
        <w:rPr>
          <w:rFonts w:ascii="Arial" w:hAnsi="Arial" w:cs="Arial"/>
          <w:b/>
          <w:sz w:val="24"/>
          <w:szCs w:val="24"/>
        </w:rPr>
        <w:t>NEEDS</w:t>
      </w:r>
    </w:p>
    <w:p w14:paraId="568B0FAF" w14:textId="03E7C427" w:rsidR="007106DB" w:rsidRPr="00830B93" w:rsidRDefault="007106DB" w:rsidP="007106DB">
      <w:pPr>
        <w:spacing w:after="0"/>
        <w:rPr>
          <w:rFonts w:ascii="Arial" w:hAnsi="Arial" w:cs="Arial"/>
          <w:sz w:val="20"/>
          <w:szCs w:val="20"/>
        </w:rPr>
      </w:pPr>
    </w:p>
    <w:p w14:paraId="6D5CC5A3" w14:textId="7472590E" w:rsidR="007106DB" w:rsidRPr="005A7E2D" w:rsidRDefault="007106DB" w:rsidP="007106DB">
      <w:pPr>
        <w:spacing w:after="0"/>
        <w:rPr>
          <w:rFonts w:ascii="Arial" w:hAnsi="Arial" w:cs="Arial"/>
          <w:sz w:val="20"/>
          <w:szCs w:val="20"/>
        </w:rPr>
      </w:pPr>
      <w:r w:rsidRPr="005A7E2D">
        <w:rPr>
          <w:rFonts w:ascii="Arial" w:hAnsi="Arial" w:cs="Arial"/>
          <w:sz w:val="20"/>
          <w:szCs w:val="20"/>
        </w:rPr>
        <w:t xml:space="preserve">Return this completed request to </w:t>
      </w:r>
      <w:hyperlink r:id="rId8" w:history="1">
        <w:r w:rsidRPr="005A7E2D">
          <w:rPr>
            <w:rStyle w:val="Hyperlink"/>
            <w:rFonts w:ascii="Arial" w:hAnsi="Arial" w:cs="Arial"/>
            <w:sz w:val="20"/>
            <w:szCs w:val="20"/>
          </w:rPr>
          <w:t>DHSDCTSBPTRFundingOpportunities@dhs.wisconsin.gov</w:t>
        </w:r>
      </w:hyperlink>
      <w:r w:rsidRPr="005A7E2D">
        <w:rPr>
          <w:rStyle w:val="Hyperlink"/>
          <w:rFonts w:ascii="Arial" w:hAnsi="Arial" w:cs="Arial"/>
          <w:sz w:val="20"/>
          <w:szCs w:val="20"/>
        </w:rPr>
        <w:t>.</w:t>
      </w:r>
    </w:p>
    <w:p w14:paraId="2274FE62" w14:textId="55BE7903" w:rsidR="00830B93" w:rsidRPr="00830B93" w:rsidRDefault="00290D3F" w:rsidP="007106DB">
      <w:pPr>
        <w:spacing w:after="0"/>
        <w:rPr>
          <w:rFonts w:ascii="Arial" w:hAnsi="Arial" w:cs="Arial"/>
          <w:sz w:val="20"/>
          <w:szCs w:val="20"/>
        </w:rPr>
      </w:pPr>
      <w:r w:rsidRPr="00290D3F">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6DF71B0E" wp14:editId="0016C2F7">
                <wp:simplePos x="0" y="0"/>
                <wp:positionH relativeFrom="margin">
                  <wp:posOffset>-133350</wp:posOffset>
                </wp:positionH>
                <wp:positionV relativeFrom="paragraph">
                  <wp:posOffset>518160</wp:posOffset>
                </wp:positionV>
                <wp:extent cx="6988175" cy="19907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1990725"/>
                        </a:xfrm>
                        <a:prstGeom prst="rect">
                          <a:avLst/>
                        </a:prstGeom>
                        <a:solidFill>
                          <a:srgbClr val="FFFFFF"/>
                        </a:solidFill>
                        <a:ln w="9525">
                          <a:solidFill>
                            <a:srgbClr val="000000"/>
                          </a:solidFill>
                          <a:miter lim="800000"/>
                          <a:headEnd/>
                          <a:tailEnd/>
                        </a:ln>
                      </wps:spPr>
                      <wps:txbx>
                        <w:txbxContent>
                          <w:p w14:paraId="7AE1F89F" w14:textId="69045797" w:rsidR="00631CFB" w:rsidRPr="00290D3F" w:rsidRDefault="00631CFB" w:rsidP="00631CFB">
                            <w:pPr>
                              <w:spacing w:after="0"/>
                              <w:rPr>
                                <w:rFonts w:ascii="Arial" w:hAnsi="Arial" w:cs="Arial"/>
                                <w:sz w:val="20"/>
                                <w:szCs w:val="20"/>
                              </w:rPr>
                            </w:pPr>
                            <w:r w:rsidRPr="00290D3F">
                              <w:rPr>
                                <w:rFonts w:ascii="Arial" w:hAnsi="Arial" w:cs="Arial"/>
                                <w:sz w:val="20"/>
                                <w:szCs w:val="20"/>
                              </w:rPr>
                              <w:t xml:space="preserve">The purpose of the Opioid and Stimulant Unmet </w:t>
                            </w:r>
                            <w:r>
                              <w:rPr>
                                <w:rFonts w:ascii="Arial" w:hAnsi="Arial" w:cs="Arial"/>
                                <w:sz w:val="20"/>
                                <w:szCs w:val="20"/>
                              </w:rPr>
                              <w:t xml:space="preserve">Treatment </w:t>
                            </w:r>
                            <w:r w:rsidRPr="00290D3F">
                              <w:rPr>
                                <w:rFonts w:ascii="Arial" w:hAnsi="Arial" w:cs="Arial"/>
                                <w:sz w:val="20"/>
                                <w:szCs w:val="20"/>
                              </w:rPr>
                              <w:t xml:space="preserve">Needs </w:t>
                            </w:r>
                            <w:r>
                              <w:rPr>
                                <w:rFonts w:ascii="Arial" w:hAnsi="Arial" w:cs="Arial"/>
                                <w:sz w:val="20"/>
                                <w:szCs w:val="20"/>
                              </w:rPr>
                              <w:t>P</w:t>
                            </w:r>
                            <w:r w:rsidRPr="00290D3F">
                              <w:rPr>
                                <w:rFonts w:ascii="Arial" w:hAnsi="Arial" w:cs="Arial"/>
                                <w:sz w:val="20"/>
                                <w:szCs w:val="20"/>
                              </w:rPr>
                              <w:t xml:space="preserve">rogram under State Opioid Response grant funding is to increase access to </w:t>
                            </w:r>
                            <w:r>
                              <w:rPr>
                                <w:rFonts w:ascii="Arial" w:hAnsi="Arial" w:cs="Arial"/>
                                <w:sz w:val="20"/>
                                <w:szCs w:val="20"/>
                              </w:rPr>
                              <w:t xml:space="preserve">the Food and Drug Administration approved </w:t>
                            </w:r>
                            <w:r w:rsidRPr="00290D3F">
                              <w:rPr>
                                <w:rFonts w:ascii="Arial" w:hAnsi="Arial" w:cs="Arial"/>
                                <w:sz w:val="20"/>
                                <w:szCs w:val="20"/>
                              </w:rPr>
                              <w:t xml:space="preserve">medications for opioid use disorder, </w:t>
                            </w:r>
                            <w:r>
                              <w:rPr>
                                <w:rFonts w:ascii="Arial" w:hAnsi="Arial" w:cs="Arial"/>
                                <w:sz w:val="20"/>
                                <w:szCs w:val="20"/>
                              </w:rPr>
                              <w:t xml:space="preserve">to </w:t>
                            </w:r>
                            <w:r w:rsidRPr="00290D3F">
                              <w:rPr>
                                <w:rFonts w:ascii="Arial" w:hAnsi="Arial" w:cs="Arial"/>
                                <w:sz w:val="20"/>
                                <w:szCs w:val="20"/>
                              </w:rPr>
                              <w:t xml:space="preserve">reduce the number of individuals waiting for opioid use disorder treatment, and </w:t>
                            </w:r>
                            <w:r>
                              <w:rPr>
                                <w:rFonts w:ascii="Arial" w:hAnsi="Arial" w:cs="Arial"/>
                                <w:sz w:val="20"/>
                                <w:szCs w:val="20"/>
                              </w:rPr>
                              <w:t xml:space="preserve">to </w:t>
                            </w:r>
                            <w:r w:rsidRPr="00290D3F">
                              <w:rPr>
                                <w:rFonts w:ascii="Arial" w:hAnsi="Arial" w:cs="Arial"/>
                                <w:sz w:val="20"/>
                                <w:szCs w:val="20"/>
                              </w:rPr>
                              <w:t xml:space="preserve">reduce opioid overdose-related deaths by supporting </w:t>
                            </w:r>
                            <w:r>
                              <w:rPr>
                                <w:rFonts w:ascii="Arial" w:hAnsi="Arial" w:cs="Arial"/>
                                <w:sz w:val="20"/>
                                <w:szCs w:val="20"/>
                              </w:rPr>
                              <w:t>a</w:t>
                            </w:r>
                            <w:r w:rsidRPr="00290D3F">
                              <w:rPr>
                                <w:rFonts w:ascii="Arial" w:hAnsi="Arial" w:cs="Arial"/>
                                <w:sz w:val="20"/>
                                <w:szCs w:val="20"/>
                              </w:rPr>
                              <w:t xml:space="preserve"> continuum of prevention, harm reduction, treatment, and recovery support services for opioid use disorder. This </w:t>
                            </w:r>
                            <w:r>
                              <w:rPr>
                                <w:rFonts w:ascii="Arial" w:hAnsi="Arial" w:cs="Arial"/>
                                <w:sz w:val="20"/>
                                <w:szCs w:val="20"/>
                              </w:rPr>
                              <w:t>program</w:t>
                            </w:r>
                            <w:r w:rsidRPr="00290D3F">
                              <w:rPr>
                                <w:rFonts w:ascii="Arial" w:hAnsi="Arial" w:cs="Arial"/>
                                <w:sz w:val="20"/>
                                <w:szCs w:val="20"/>
                              </w:rPr>
                              <w:t xml:space="preserve"> also supports evidence-based prevention, harm reduction, treatment, and recovery support services to address stimulant use disorders and other co</w:t>
                            </w:r>
                            <w:r>
                              <w:rPr>
                                <w:rFonts w:ascii="Arial" w:hAnsi="Arial" w:cs="Arial"/>
                                <w:sz w:val="20"/>
                                <w:szCs w:val="20"/>
                              </w:rPr>
                              <w:t>-occurring</w:t>
                            </w:r>
                            <w:r w:rsidRPr="00290D3F">
                              <w:rPr>
                                <w:rFonts w:ascii="Arial" w:hAnsi="Arial" w:cs="Arial"/>
                                <w:sz w:val="20"/>
                                <w:szCs w:val="20"/>
                              </w:rPr>
                              <w:t xml:space="preserve"> substance use disorders.</w:t>
                            </w:r>
                          </w:p>
                          <w:p w14:paraId="4A0BEA3E" w14:textId="77777777" w:rsidR="00631CFB" w:rsidRPr="00290D3F" w:rsidRDefault="00631CFB" w:rsidP="00631CFB">
                            <w:pPr>
                              <w:spacing w:after="0"/>
                              <w:rPr>
                                <w:rFonts w:ascii="Arial" w:hAnsi="Arial" w:cs="Arial"/>
                                <w:sz w:val="20"/>
                                <w:szCs w:val="20"/>
                              </w:rPr>
                            </w:pPr>
                          </w:p>
                          <w:p w14:paraId="46261760" w14:textId="77777777" w:rsidR="00631CFB" w:rsidRDefault="00631CFB" w:rsidP="00631CFB">
                            <w:pPr>
                              <w:spacing w:after="0"/>
                            </w:pPr>
                            <w:r>
                              <w:rPr>
                                <w:rFonts w:ascii="Arial" w:hAnsi="Arial" w:cs="Arial"/>
                                <w:sz w:val="20"/>
                                <w:szCs w:val="20"/>
                              </w:rPr>
                              <w:t>Grant f</w:t>
                            </w:r>
                            <w:r w:rsidRPr="00290D3F">
                              <w:rPr>
                                <w:rFonts w:ascii="Arial" w:hAnsi="Arial" w:cs="Arial"/>
                                <w:sz w:val="20"/>
                                <w:szCs w:val="20"/>
                              </w:rPr>
                              <w:t xml:space="preserve">unds may not </w:t>
                            </w:r>
                            <w:r>
                              <w:rPr>
                                <w:rFonts w:ascii="Arial" w:hAnsi="Arial" w:cs="Arial"/>
                                <w:sz w:val="20"/>
                                <w:szCs w:val="20"/>
                              </w:rPr>
                              <w:t>be used by agencies</w:t>
                            </w:r>
                            <w:r w:rsidRPr="00290D3F">
                              <w:rPr>
                                <w:rFonts w:ascii="Arial" w:hAnsi="Arial" w:cs="Arial"/>
                                <w:sz w:val="20"/>
                                <w:szCs w:val="20"/>
                              </w:rPr>
                              <w:t xml:space="preserve"> which would deny any eligible </w:t>
                            </w:r>
                            <w:r>
                              <w:rPr>
                                <w:rFonts w:ascii="Arial" w:hAnsi="Arial" w:cs="Arial"/>
                                <w:sz w:val="20"/>
                                <w:szCs w:val="20"/>
                              </w:rPr>
                              <w:t>person</w:t>
                            </w:r>
                            <w:r w:rsidRPr="00290D3F">
                              <w:rPr>
                                <w:rFonts w:ascii="Arial" w:hAnsi="Arial" w:cs="Arial"/>
                                <w:sz w:val="20"/>
                                <w:szCs w:val="20"/>
                              </w:rPr>
                              <w:t xml:space="preserve"> access to their program because of </w:t>
                            </w:r>
                            <w:r>
                              <w:rPr>
                                <w:rFonts w:ascii="Arial" w:hAnsi="Arial" w:cs="Arial"/>
                                <w:sz w:val="20"/>
                                <w:szCs w:val="20"/>
                              </w:rPr>
                              <w:t xml:space="preserve">the person’s </w:t>
                            </w:r>
                            <w:r w:rsidRPr="00290D3F">
                              <w:rPr>
                                <w:rFonts w:ascii="Arial" w:hAnsi="Arial" w:cs="Arial"/>
                                <w:sz w:val="20"/>
                                <w:szCs w:val="20"/>
                              </w:rPr>
                              <w:t>use of F</w:t>
                            </w:r>
                            <w:r>
                              <w:rPr>
                                <w:rFonts w:ascii="Arial" w:hAnsi="Arial" w:cs="Arial"/>
                                <w:sz w:val="20"/>
                                <w:szCs w:val="20"/>
                              </w:rPr>
                              <w:t xml:space="preserve">ood and Drug Administration </w:t>
                            </w:r>
                            <w:r w:rsidRPr="00290D3F">
                              <w:rPr>
                                <w:rFonts w:ascii="Arial" w:hAnsi="Arial" w:cs="Arial"/>
                                <w:sz w:val="20"/>
                                <w:szCs w:val="20"/>
                              </w:rPr>
                              <w:t>approved</w:t>
                            </w:r>
                            <w:r>
                              <w:rPr>
                                <w:rFonts w:ascii="Arial" w:hAnsi="Arial" w:cs="Arial"/>
                                <w:sz w:val="20"/>
                                <w:szCs w:val="20"/>
                              </w:rPr>
                              <w:t xml:space="preserve"> medications for opioid use disorder</w:t>
                            </w:r>
                            <w:r w:rsidRPr="00290D3F">
                              <w:rPr>
                                <w:rFonts w:ascii="Arial" w:hAnsi="Arial" w:cs="Arial"/>
                                <w:sz w:val="20"/>
                                <w:szCs w:val="20"/>
                              </w:rPr>
                              <w:t xml:space="preserve">. </w:t>
                            </w:r>
                            <w:r>
                              <w:rPr>
                                <w:rFonts w:ascii="Arial" w:hAnsi="Arial" w:cs="Arial"/>
                                <w:sz w:val="20"/>
                                <w:szCs w:val="20"/>
                              </w:rPr>
                              <w:t>Grantees</w:t>
                            </w:r>
                            <w:r w:rsidRPr="00290D3F">
                              <w:rPr>
                                <w:rFonts w:ascii="Arial" w:hAnsi="Arial" w:cs="Arial"/>
                                <w:sz w:val="20"/>
                                <w:szCs w:val="20"/>
                              </w:rPr>
                              <w:t xml:space="preserve"> must assure that</w:t>
                            </w:r>
                            <w:r>
                              <w:rPr>
                                <w:rFonts w:ascii="Arial" w:hAnsi="Arial" w:cs="Arial"/>
                                <w:sz w:val="20"/>
                                <w:szCs w:val="20"/>
                              </w:rPr>
                              <w:t xml:space="preserve"> people</w:t>
                            </w:r>
                            <w:r w:rsidRPr="00290D3F">
                              <w:rPr>
                                <w:rFonts w:ascii="Arial" w:hAnsi="Arial" w:cs="Arial"/>
                                <w:sz w:val="20"/>
                                <w:szCs w:val="20"/>
                              </w:rPr>
                              <w:t xml:space="preserve"> will not be compelled to </w:t>
                            </w:r>
                            <w:r>
                              <w:rPr>
                                <w:rFonts w:ascii="Arial" w:hAnsi="Arial" w:cs="Arial"/>
                                <w:sz w:val="20"/>
                                <w:szCs w:val="20"/>
                              </w:rPr>
                              <w:t>stop use of</w:t>
                            </w:r>
                            <w:r w:rsidRPr="00290D3F">
                              <w:rPr>
                                <w:rFonts w:ascii="Arial" w:hAnsi="Arial" w:cs="Arial"/>
                                <w:sz w:val="20"/>
                                <w:szCs w:val="20"/>
                              </w:rPr>
                              <w:t xml:space="preserve"> </w:t>
                            </w:r>
                            <w:r>
                              <w:rPr>
                                <w:rFonts w:ascii="Arial" w:hAnsi="Arial" w:cs="Arial"/>
                                <w:sz w:val="20"/>
                                <w:szCs w:val="20"/>
                              </w:rPr>
                              <w:t>a medication for opioid for disorder</w:t>
                            </w:r>
                            <w:r w:rsidRPr="00290D3F">
                              <w:rPr>
                                <w:rFonts w:ascii="Arial" w:hAnsi="Arial" w:cs="Arial"/>
                                <w:sz w:val="20"/>
                                <w:szCs w:val="20"/>
                              </w:rPr>
                              <w:t xml:space="preserve"> as part of the conditions of any programming</w:t>
                            </w:r>
                            <w:r>
                              <w:rPr>
                                <w:rFonts w:ascii="Arial" w:hAnsi="Arial" w:cs="Arial"/>
                                <w:sz w:val="20"/>
                                <w:szCs w:val="20"/>
                              </w:rPr>
                              <w:t xml:space="preserve"> if</w:t>
                            </w:r>
                            <w:r w:rsidRPr="00290D3F">
                              <w:rPr>
                                <w:rFonts w:ascii="Arial" w:hAnsi="Arial" w:cs="Arial"/>
                                <w:sz w:val="20"/>
                                <w:szCs w:val="20"/>
                              </w:rPr>
                              <w:t xml:space="preserve"> stopping is inconsistent with a licensed prescriber’s recommendation or valid prescription.</w:t>
                            </w:r>
                          </w:p>
                          <w:p w14:paraId="31120ED5" w14:textId="3C49EBA5" w:rsidR="00290D3F" w:rsidRDefault="00290D3F" w:rsidP="006D4C9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1B0E" id="_x0000_t202" coordsize="21600,21600" o:spt="202" path="m,l,21600r21600,l21600,xe">
                <v:stroke joinstyle="miter"/>
                <v:path gradientshapeok="t" o:connecttype="rect"/>
              </v:shapetype>
              <v:shape id="Text Box 2" o:spid="_x0000_s1026" type="#_x0000_t202" style="position:absolute;margin-left:-10.5pt;margin-top:40.8pt;width:550.25pt;height:15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">
                <v:textbox>
                  <w:txbxContent>
                    <w:p w14:paraId="7AE1F89F" w14:textId="69045797" w:rsidR="00631CFB" w:rsidRPr="00290D3F" w:rsidRDefault="00631CFB" w:rsidP="00631CFB">
                      <w:pPr>
                        <w:spacing w:after="0"/>
                        <w:rPr>
                          <w:rFonts w:ascii="Arial" w:hAnsi="Arial" w:cs="Arial"/>
                          <w:sz w:val="20"/>
                          <w:szCs w:val="20"/>
                        </w:rPr>
                      </w:pPr>
                      <w:r w:rsidRPr="00290D3F">
                        <w:rPr>
                          <w:rFonts w:ascii="Arial" w:hAnsi="Arial" w:cs="Arial"/>
                          <w:sz w:val="20"/>
                          <w:szCs w:val="20"/>
                        </w:rPr>
                        <w:t xml:space="preserve">The purpose of the Opioid and Stimulant Unmet </w:t>
                      </w:r>
                      <w:r>
                        <w:rPr>
                          <w:rFonts w:ascii="Arial" w:hAnsi="Arial" w:cs="Arial"/>
                          <w:sz w:val="20"/>
                          <w:szCs w:val="20"/>
                        </w:rPr>
                        <w:t xml:space="preserve">Treatment </w:t>
                      </w:r>
                      <w:r w:rsidRPr="00290D3F">
                        <w:rPr>
                          <w:rFonts w:ascii="Arial" w:hAnsi="Arial" w:cs="Arial"/>
                          <w:sz w:val="20"/>
                          <w:szCs w:val="20"/>
                        </w:rPr>
                        <w:t xml:space="preserve">Needs </w:t>
                      </w:r>
                      <w:r>
                        <w:rPr>
                          <w:rFonts w:ascii="Arial" w:hAnsi="Arial" w:cs="Arial"/>
                          <w:sz w:val="20"/>
                          <w:szCs w:val="20"/>
                        </w:rPr>
                        <w:t>P</w:t>
                      </w:r>
                      <w:r w:rsidRPr="00290D3F">
                        <w:rPr>
                          <w:rFonts w:ascii="Arial" w:hAnsi="Arial" w:cs="Arial"/>
                          <w:sz w:val="20"/>
                          <w:szCs w:val="20"/>
                        </w:rPr>
                        <w:t xml:space="preserve">rogram under State Opioid Response grant funding is to increase access to </w:t>
                      </w:r>
                      <w:r>
                        <w:rPr>
                          <w:rFonts w:ascii="Arial" w:hAnsi="Arial" w:cs="Arial"/>
                          <w:sz w:val="20"/>
                          <w:szCs w:val="20"/>
                        </w:rPr>
                        <w:t xml:space="preserve">the Food and Drug Administration approved </w:t>
                      </w:r>
                      <w:r w:rsidRPr="00290D3F">
                        <w:rPr>
                          <w:rFonts w:ascii="Arial" w:hAnsi="Arial" w:cs="Arial"/>
                          <w:sz w:val="20"/>
                          <w:szCs w:val="20"/>
                        </w:rPr>
                        <w:t xml:space="preserve">medications for opioid use disorder, </w:t>
                      </w:r>
                      <w:r>
                        <w:rPr>
                          <w:rFonts w:ascii="Arial" w:hAnsi="Arial" w:cs="Arial"/>
                          <w:sz w:val="20"/>
                          <w:szCs w:val="20"/>
                        </w:rPr>
                        <w:t xml:space="preserve">to </w:t>
                      </w:r>
                      <w:r w:rsidRPr="00290D3F">
                        <w:rPr>
                          <w:rFonts w:ascii="Arial" w:hAnsi="Arial" w:cs="Arial"/>
                          <w:sz w:val="20"/>
                          <w:szCs w:val="20"/>
                        </w:rPr>
                        <w:t xml:space="preserve">reduce the number of individuals waiting for opioid use disorder treatment, and </w:t>
                      </w:r>
                      <w:r>
                        <w:rPr>
                          <w:rFonts w:ascii="Arial" w:hAnsi="Arial" w:cs="Arial"/>
                          <w:sz w:val="20"/>
                          <w:szCs w:val="20"/>
                        </w:rPr>
                        <w:t xml:space="preserve">to </w:t>
                      </w:r>
                      <w:r w:rsidRPr="00290D3F">
                        <w:rPr>
                          <w:rFonts w:ascii="Arial" w:hAnsi="Arial" w:cs="Arial"/>
                          <w:sz w:val="20"/>
                          <w:szCs w:val="20"/>
                        </w:rPr>
                        <w:t xml:space="preserve">reduce opioid overdose-related deaths by supporting </w:t>
                      </w:r>
                      <w:r>
                        <w:rPr>
                          <w:rFonts w:ascii="Arial" w:hAnsi="Arial" w:cs="Arial"/>
                          <w:sz w:val="20"/>
                          <w:szCs w:val="20"/>
                        </w:rPr>
                        <w:t>a</w:t>
                      </w:r>
                      <w:r w:rsidRPr="00290D3F">
                        <w:rPr>
                          <w:rFonts w:ascii="Arial" w:hAnsi="Arial" w:cs="Arial"/>
                          <w:sz w:val="20"/>
                          <w:szCs w:val="20"/>
                        </w:rPr>
                        <w:t xml:space="preserve"> continuum of prevention, harm reduction, treatment, and recovery support services for opioid use disorder. This </w:t>
                      </w:r>
                      <w:r>
                        <w:rPr>
                          <w:rFonts w:ascii="Arial" w:hAnsi="Arial" w:cs="Arial"/>
                          <w:sz w:val="20"/>
                          <w:szCs w:val="20"/>
                        </w:rPr>
                        <w:t>program</w:t>
                      </w:r>
                      <w:r w:rsidRPr="00290D3F">
                        <w:rPr>
                          <w:rFonts w:ascii="Arial" w:hAnsi="Arial" w:cs="Arial"/>
                          <w:sz w:val="20"/>
                          <w:szCs w:val="20"/>
                        </w:rPr>
                        <w:t xml:space="preserve"> also supports evidence-based prevention, harm reduction, treatment, and recovery support services to address stimulant use disorders and other co</w:t>
                      </w:r>
                      <w:r>
                        <w:rPr>
                          <w:rFonts w:ascii="Arial" w:hAnsi="Arial" w:cs="Arial"/>
                          <w:sz w:val="20"/>
                          <w:szCs w:val="20"/>
                        </w:rPr>
                        <w:t>-occurring</w:t>
                      </w:r>
                      <w:r w:rsidRPr="00290D3F">
                        <w:rPr>
                          <w:rFonts w:ascii="Arial" w:hAnsi="Arial" w:cs="Arial"/>
                          <w:sz w:val="20"/>
                          <w:szCs w:val="20"/>
                        </w:rPr>
                        <w:t xml:space="preserve"> substance use disorders.</w:t>
                      </w:r>
                    </w:p>
                    <w:p w14:paraId="4A0BEA3E" w14:textId="77777777" w:rsidR="00631CFB" w:rsidRPr="00290D3F" w:rsidRDefault="00631CFB" w:rsidP="00631CFB">
                      <w:pPr>
                        <w:spacing w:after="0"/>
                        <w:rPr>
                          <w:rFonts w:ascii="Arial" w:hAnsi="Arial" w:cs="Arial"/>
                          <w:sz w:val="20"/>
                          <w:szCs w:val="20"/>
                        </w:rPr>
                      </w:pPr>
                    </w:p>
                    <w:p w14:paraId="46261760" w14:textId="77777777" w:rsidR="00631CFB" w:rsidRDefault="00631CFB" w:rsidP="00631CFB">
                      <w:pPr>
                        <w:spacing w:after="0"/>
                      </w:pPr>
                      <w:r>
                        <w:rPr>
                          <w:rFonts w:ascii="Arial" w:hAnsi="Arial" w:cs="Arial"/>
                          <w:sz w:val="20"/>
                          <w:szCs w:val="20"/>
                        </w:rPr>
                        <w:t>Grant f</w:t>
                      </w:r>
                      <w:r w:rsidRPr="00290D3F">
                        <w:rPr>
                          <w:rFonts w:ascii="Arial" w:hAnsi="Arial" w:cs="Arial"/>
                          <w:sz w:val="20"/>
                          <w:szCs w:val="20"/>
                        </w:rPr>
                        <w:t xml:space="preserve">unds may not </w:t>
                      </w:r>
                      <w:r>
                        <w:rPr>
                          <w:rFonts w:ascii="Arial" w:hAnsi="Arial" w:cs="Arial"/>
                          <w:sz w:val="20"/>
                          <w:szCs w:val="20"/>
                        </w:rPr>
                        <w:t>be used by agencies</w:t>
                      </w:r>
                      <w:r w:rsidRPr="00290D3F">
                        <w:rPr>
                          <w:rFonts w:ascii="Arial" w:hAnsi="Arial" w:cs="Arial"/>
                          <w:sz w:val="20"/>
                          <w:szCs w:val="20"/>
                        </w:rPr>
                        <w:t xml:space="preserve"> which would deny any eligible </w:t>
                      </w:r>
                      <w:r>
                        <w:rPr>
                          <w:rFonts w:ascii="Arial" w:hAnsi="Arial" w:cs="Arial"/>
                          <w:sz w:val="20"/>
                          <w:szCs w:val="20"/>
                        </w:rPr>
                        <w:t>person</w:t>
                      </w:r>
                      <w:r w:rsidRPr="00290D3F">
                        <w:rPr>
                          <w:rFonts w:ascii="Arial" w:hAnsi="Arial" w:cs="Arial"/>
                          <w:sz w:val="20"/>
                          <w:szCs w:val="20"/>
                        </w:rPr>
                        <w:t xml:space="preserve"> access to their program because of </w:t>
                      </w:r>
                      <w:r>
                        <w:rPr>
                          <w:rFonts w:ascii="Arial" w:hAnsi="Arial" w:cs="Arial"/>
                          <w:sz w:val="20"/>
                          <w:szCs w:val="20"/>
                        </w:rPr>
                        <w:t xml:space="preserve">the person’s </w:t>
                      </w:r>
                      <w:r w:rsidRPr="00290D3F">
                        <w:rPr>
                          <w:rFonts w:ascii="Arial" w:hAnsi="Arial" w:cs="Arial"/>
                          <w:sz w:val="20"/>
                          <w:szCs w:val="20"/>
                        </w:rPr>
                        <w:t>use of F</w:t>
                      </w:r>
                      <w:r>
                        <w:rPr>
                          <w:rFonts w:ascii="Arial" w:hAnsi="Arial" w:cs="Arial"/>
                          <w:sz w:val="20"/>
                          <w:szCs w:val="20"/>
                        </w:rPr>
                        <w:t xml:space="preserve">ood and Drug Administration </w:t>
                      </w:r>
                      <w:r w:rsidRPr="00290D3F">
                        <w:rPr>
                          <w:rFonts w:ascii="Arial" w:hAnsi="Arial" w:cs="Arial"/>
                          <w:sz w:val="20"/>
                          <w:szCs w:val="20"/>
                        </w:rPr>
                        <w:t>approved</w:t>
                      </w:r>
                      <w:r>
                        <w:rPr>
                          <w:rFonts w:ascii="Arial" w:hAnsi="Arial" w:cs="Arial"/>
                          <w:sz w:val="20"/>
                          <w:szCs w:val="20"/>
                        </w:rPr>
                        <w:t xml:space="preserve"> medications for opioid use disorder</w:t>
                      </w:r>
                      <w:r w:rsidRPr="00290D3F">
                        <w:rPr>
                          <w:rFonts w:ascii="Arial" w:hAnsi="Arial" w:cs="Arial"/>
                          <w:sz w:val="20"/>
                          <w:szCs w:val="20"/>
                        </w:rPr>
                        <w:t xml:space="preserve">. </w:t>
                      </w:r>
                      <w:r>
                        <w:rPr>
                          <w:rFonts w:ascii="Arial" w:hAnsi="Arial" w:cs="Arial"/>
                          <w:sz w:val="20"/>
                          <w:szCs w:val="20"/>
                        </w:rPr>
                        <w:t>Grantees</w:t>
                      </w:r>
                      <w:r w:rsidRPr="00290D3F">
                        <w:rPr>
                          <w:rFonts w:ascii="Arial" w:hAnsi="Arial" w:cs="Arial"/>
                          <w:sz w:val="20"/>
                          <w:szCs w:val="20"/>
                        </w:rPr>
                        <w:t xml:space="preserve"> must assure that</w:t>
                      </w:r>
                      <w:r>
                        <w:rPr>
                          <w:rFonts w:ascii="Arial" w:hAnsi="Arial" w:cs="Arial"/>
                          <w:sz w:val="20"/>
                          <w:szCs w:val="20"/>
                        </w:rPr>
                        <w:t xml:space="preserve"> people</w:t>
                      </w:r>
                      <w:r w:rsidRPr="00290D3F">
                        <w:rPr>
                          <w:rFonts w:ascii="Arial" w:hAnsi="Arial" w:cs="Arial"/>
                          <w:sz w:val="20"/>
                          <w:szCs w:val="20"/>
                        </w:rPr>
                        <w:t xml:space="preserve"> will not be compelled to </w:t>
                      </w:r>
                      <w:r>
                        <w:rPr>
                          <w:rFonts w:ascii="Arial" w:hAnsi="Arial" w:cs="Arial"/>
                          <w:sz w:val="20"/>
                          <w:szCs w:val="20"/>
                        </w:rPr>
                        <w:t>stop use of</w:t>
                      </w:r>
                      <w:r w:rsidRPr="00290D3F">
                        <w:rPr>
                          <w:rFonts w:ascii="Arial" w:hAnsi="Arial" w:cs="Arial"/>
                          <w:sz w:val="20"/>
                          <w:szCs w:val="20"/>
                        </w:rPr>
                        <w:t xml:space="preserve"> </w:t>
                      </w:r>
                      <w:r>
                        <w:rPr>
                          <w:rFonts w:ascii="Arial" w:hAnsi="Arial" w:cs="Arial"/>
                          <w:sz w:val="20"/>
                          <w:szCs w:val="20"/>
                        </w:rPr>
                        <w:t>a medication for opioid for disorder</w:t>
                      </w:r>
                      <w:r w:rsidRPr="00290D3F">
                        <w:rPr>
                          <w:rFonts w:ascii="Arial" w:hAnsi="Arial" w:cs="Arial"/>
                          <w:sz w:val="20"/>
                          <w:szCs w:val="20"/>
                        </w:rPr>
                        <w:t xml:space="preserve"> as part of the conditions of any programming</w:t>
                      </w:r>
                      <w:r>
                        <w:rPr>
                          <w:rFonts w:ascii="Arial" w:hAnsi="Arial" w:cs="Arial"/>
                          <w:sz w:val="20"/>
                          <w:szCs w:val="20"/>
                        </w:rPr>
                        <w:t xml:space="preserve"> if</w:t>
                      </w:r>
                      <w:r w:rsidRPr="00290D3F">
                        <w:rPr>
                          <w:rFonts w:ascii="Arial" w:hAnsi="Arial" w:cs="Arial"/>
                          <w:sz w:val="20"/>
                          <w:szCs w:val="20"/>
                        </w:rPr>
                        <w:t xml:space="preserve"> stopping is inconsistent with a licensed prescriber’s recommendation or valid prescription.</w:t>
                      </w:r>
                    </w:p>
                    <w:p w14:paraId="31120ED5" w14:textId="3C49EBA5" w:rsidR="00290D3F" w:rsidRDefault="00290D3F" w:rsidP="006D4C9B">
                      <w:pPr>
                        <w:spacing w:after="0"/>
                      </w:pPr>
                    </w:p>
                  </w:txbxContent>
                </v:textbox>
                <w10:wrap type="square" anchorx="margin"/>
              </v:shape>
            </w:pict>
          </mc:Fallback>
        </mc:AlternateContent>
      </w:r>
    </w:p>
    <w:tbl>
      <w:tblPr>
        <w:tblStyle w:val="TableGrid"/>
        <w:tblW w:w="10885" w:type="dxa"/>
        <w:tblLook w:val="04A0" w:firstRow="1" w:lastRow="0" w:firstColumn="1" w:lastColumn="0" w:noHBand="0" w:noVBand="1"/>
      </w:tblPr>
      <w:tblGrid>
        <w:gridCol w:w="3505"/>
        <w:gridCol w:w="7380"/>
      </w:tblGrid>
      <w:tr w:rsidR="00A671A6" w:rsidRPr="00830B93" w14:paraId="74138958" w14:textId="77777777" w:rsidTr="004301BA">
        <w:tc>
          <w:tcPr>
            <w:tcW w:w="3505" w:type="dxa"/>
            <w:tcBorders>
              <w:top w:val="nil"/>
              <w:left w:val="nil"/>
              <w:bottom w:val="nil"/>
              <w:right w:val="nil"/>
            </w:tcBorders>
            <w:vAlign w:val="center"/>
          </w:tcPr>
          <w:p w14:paraId="04DCA2B5" w14:textId="6BB68233" w:rsidR="00A671A6" w:rsidRPr="00830B93" w:rsidRDefault="00A671A6" w:rsidP="004301BA">
            <w:pPr>
              <w:spacing w:after="0"/>
              <w:rPr>
                <w:rFonts w:ascii="Arial" w:hAnsi="Arial" w:cs="Arial"/>
                <w:sz w:val="20"/>
              </w:rPr>
            </w:pPr>
            <w:r w:rsidRPr="00830B93">
              <w:rPr>
                <w:rFonts w:ascii="Arial" w:hAnsi="Arial" w:cs="Arial"/>
                <w:sz w:val="20"/>
              </w:rPr>
              <w:t>County or Tribal Nation Name:</w:t>
            </w:r>
          </w:p>
        </w:tc>
        <w:tc>
          <w:tcPr>
            <w:tcW w:w="7380" w:type="dxa"/>
            <w:tcBorders>
              <w:top w:val="nil"/>
              <w:left w:val="nil"/>
              <w:bottom w:val="single" w:sz="4" w:space="0" w:color="auto"/>
              <w:right w:val="nil"/>
            </w:tcBorders>
            <w:vAlign w:val="center"/>
          </w:tcPr>
          <w:p w14:paraId="1F5AA909" w14:textId="2DD2A1DE" w:rsidR="00A671A6" w:rsidRPr="005A7E2D" w:rsidRDefault="00486D13" w:rsidP="004301BA">
            <w:pPr>
              <w:spacing w:after="0"/>
              <w:rPr>
                <w:rFonts w:ascii="Times New Roman" w:hAnsi="Times New Roman" w:cs="Times New Roman"/>
                <w:sz w:val="20"/>
              </w:rPr>
            </w:pPr>
            <w:r w:rsidRPr="005A7E2D">
              <w:rPr>
                <w:rFonts w:ascii="Times New Roman" w:hAnsi="Times New Roman" w:cs="Times New Roman"/>
              </w:rPr>
              <w:fldChar w:fldCharType="begin">
                <w:ffData>
                  <w:name w:val="Text1"/>
                  <w:enabled/>
                  <w:calcOnExit w:val="0"/>
                  <w:textInput/>
                </w:ffData>
              </w:fldChar>
            </w:r>
            <w:bookmarkStart w:id="0" w:name="Text1"/>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00D803FB">
              <w:rPr>
                <w:rFonts w:ascii="Times New Roman" w:hAnsi="Times New Roman" w:cs="Times New Roman"/>
              </w:rPr>
              <w:t> </w:t>
            </w:r>
            <w:r w:rsidR="00D803FB">
              <w:rPr>
                <w:rFonts w:ascii="Times New Roman" w:hAnsi="Times New Roman" w:cs="Times New Roman"/>
              </w:rPr>
              <w:t> </w:t>
            </w:r>
            <w:r w:rsidR="00D803FB">
              <w:rPr>
                <w:rFonts w:ascii="Times New Roman" w:hAnsi="Times New Roman" w:cs="Times New Roman"/>
              </w:rPr>
              <w:t> </w:t>
            </w:r>
            <w:r w:rsidR="00D803FB">
              <w:rPr>
                <w:rFonts w:ascii="Times New Roman" w:hAnsi="Times New Roman" w:cs="Times New Roman"/>
              </w:rPr>
              <w:t> </w:t>
            </w:r>
            <w:r w:rsidR="00D803FB">
              <w:rPr>
                <w:rFonts w:ascii="Times New Roman" w:hAnsi="Times New Roman" w:cs="Times New Roman"/>
              </w:rPr>
              <w:t> </w:t>
            </w:r>
            <w:r w:rsidRPr="005A7E2D">
              <w:rPr>
                <w:rFonts w:ascii="Times New Roman" w:hAnsi="Times New Roman" w:cs="Times New Roman"/>
              </w:rPr>
              <w:fldChar w:fldCharType="end"/>
            </w:r>
            <w:bookmarkEnd w:id="0"/>
          </w:p>
        </w:tc>
      </w:tr>
    </w:tbl>
    <w:p w14:paraId="173E897C" w14:textId="284836BE" w:rsidR="00A671A6" w:rsidRPr="00830B93" w:rsidRDefault="00A671A6" w:rsidP="007106DB">
      <w:pPr>
        <w:spacing w:after="0"/>
        <w:rPr>
          <w:rFonts w:ascii="Arial" w:hAnsi="Arial" w:cs="Arial"/>
          <w:sz w:val="20"/>
          <w:szCs w:val="20"/>
        </w:rPr>
      </w:pPr>
    </w:p>
    <w:p w14:paraId="6341AF15"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sz w:val="20"/>
          <w:szCs w:val="20"/>
        </w:rPr>
        <w:t xml:space="preserve">To assure grant maintenance of effort requirements, </w:t>
      </w:r>
      <w:r>
        <w:rPr>
          <w:rFonts w:ascii="Arial" w:hAnsi="Arial" w:cs="Arial"/>
          <w:sz w:val="20"/>
          <w:szCs w:val="20"/>
        </w:rPr>
        <w:t>tribal nations and counties</w:t>
      </w:r>
      <w:r w:rsidRPr="00830B93">
        <w:rPr>
          <w:rFonts w:ascii="Arial" w:hAnsi="Arial" w:cs="Arial"/>
          <w:sz w:val="20"/>
          <w:szCs w:val="20"/>
        </w:rPr>
        <w:t xml:space="preserve"> must report data on the total number of people with substance use disorder served in the prior year. Trib</w:t>
      </w:r>
      <w:r>
        <w:rPr>
          <w:rFonts w:ascii="Arial" w:hAnsi="Arial" w:cs="Arial"/>
          <w:sz w:val="20"/>
          <w:szCs w:val="20"/>
        </w:rPr>
        <w:t>al nations</w:t>
      </w:r>
      <w:r w:rsidRPr="00830B93">
        <w:rPr>
          <w:rFonts w:ascii="Arial" w:hAnsi="Arial" w:cs="Arial"/>
          <w:sz w:val="20"/>
          <w:szCs w:val="20"/>
        </w:rPr>
        <w:t xml:space="preserve"> should indicate their data source</w:t>
      </w:r>
      <w:r>
        <w:rPr>
          <w:rFonts w:ascii="Arial" w:hAnsi="Arial" w:cs="Arial"/>
          <w:sz w:val="20"/>
          <w:szCs w:val="20"/>
        </w:rPr>
        <w:t xml:space="preserve">. </w:t>
      </w:r>
      <w:r w:rsidRPr="00830B93">
        <w:rPr>
          <w:rFonts w:ascii="Arial" w:hAnsi="Arial" w:cs="Arial"/>
          <w:sz w:val="20"/>
          <w:szCs w:val="20"/>
        </w:rPr>
        <w:t xml:space="preserve">Counties </w:t>
      </w:r>
      <w:r>
        <w:rPr>
          <w:rFonts w:ascii="Arial" w:hAnsi="Arial" w:cs="Arial"/>
          <w:sz w:val="20"/>
          <w:szCs w:val="20"/>
        </w:rPr>
        <w:t>must</w:t>
      </w:r>
      <w:r w:rsidRPr="00830B93">
        <w:rPr>
          <w:rFonts w:ascii="Arial" w:hAnsi="Arial" w:cs="Arial"/>
          <w:sz w:val="20"/>
          <w:szCs w:val="20"/>
        </w:rPr>
        <w:t xml:space="preserve"> report data from the Program Participation System</w:t>
      </w:r>
      <w:r>
        <w:rPr>
          <w:rFonts w:ascii="Arial" w:hAnsi="Arial" w:cs="Arial"/>
          <w:sz w:val="20"/>
          <w:szCs w:val="20"/>
        </w:rPr>
        <w:t>.</w:t>
      </w:r>
    </w:p>
    <w:p w14:paraId="7D589767" w14:textId="050B0E35" w:rsidR="00A671A6" w:rsidRPr="00830B93" w:rsidRDefault="00A671A6" w:rsidP="007106DB">
      <w:pPr>
        <w:spacing w:after="0"/>
        <w:rPr>
          <w:rFonts w:ascii="Arial" w:hAnsi="Arial" w:cs="Arial"/>
          <w:sz w:val="18"/>
          <w:szCs w:val="18"/>
        </w:rPr>
      </w:pPr>
    </w:p>
    <w:p w14:paraId="4D6761FB" w14:textId="77777777" w:rsidR="00631CFB" w:rsidRPr="00830B93" w:rsidRDefault="00631CFB" w:rsidP="00631CFB">
      <w:pPr>
        <w:spacing w:after="0"/>
        <w:ind w:left="360"/>
        <w:rPr>
          <w:rFonts w:ascii="Arial" w:hAnsi="Arial" w:cs="Arial"/>
          <w:sz w:val="20"/>
          <w:szCs w:val="20"/>
        </w:rPr>
      </w:pPr>
      <w:r>
        <w:rPr>
          <w:rFonts w:ascii="Arial" w:hAnsi="Arial" w:cs="Arial"/>
          <w:sz w:val="20"/>
          <w:szCs w:val="20"/>
        </w:rPr>
        <w:t>N</w:t>
      </w:r>
      <w:r w:rsidRPr="00830B93">
        <w:rPr>
          <w:rFonts w:ascii="Arial" w:hAnsi="Arial" w:cs="Arial"/>
          <w:sz w:val="20"/>
          <w:szCs w:val="20"/>
        </w:rPr>
        <w:t xml:space="preserve">umber of </w:t>
      </w:r>
      <w:r>
        <w:rPr>
          <w:rFonts w:ascii="Arial" w:hAnsi="Arial" w:cs="Arial"/>
          <w:sz w:val="20"/>
          <w:szCs w:val="20"/>
        </w:rPr>
        <w:t>people</w:t>
      </w:r>
      <w:r w:rsidRPr="00830B93">
        <w:rPr>
          <w:rFonts w:ascii="Arial" w:hAnsi="Arial" w:cs="Arial"/>
          <w:sz w:val="20"/>
          <w:szCs w:val="20"/>
        </w:rPr>
        <w:t xml:space="preserve"> served with substance use disorder in calendar year </w:t>
      </w:r>
      <w:r w:rsidRPr="00830B93">
        <w:rPr>
          <w:rFonts w:ascii="Arial" w:hAnsi="Arial" w:cs="Arial"/>
          <w:b/>
          <w:color w:val="000000" w:themeColor="text1"/>
          <w:sz w:val="20"/>
          <w:szCs w:val="20"/>
        </w:rPr>
        <w:t>2022</w:t>
      </w:r>
      <w:r>
        <w:rPr>
          <w:rFonts w:ascii="Arial" w:hAnsi="Arial" w:cs="Arial"/>
          <w:sz w:val="20"/>
          <w:szCs w:val="20"/>
        </w:rPr>
        <w:t xml:space="preserve"> and source of this data.</w:t>
      </w:r>
    </w:p>
    <w:tbl>
      <w:tblPr>
        <w:tblStyle w:val="TableGrid"/>
        <w:tblW w:w="10530" w:type="dxa"/>
        <w:tblInd w:w="355" w:type="dxa"/>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893239" w:rsidRPr="00830B93" w14:paraId="1E4754E0" w14:textId="77777777" w:rsidTr="006F3CDA">
        <w:tc>
          <w:tcPr>
            <w:tcW w:w="10530" w:type="dxa"/>
          </w:tcPr>
          <w:p w14:paraId="0B0A1EAC" w14:textId="5981E1EA" w:rsidR="00893239" w:rsidRPr="005A7E2D" w:rsidRDefault="00486D13" w:rsidP="007106DB">
            <w:pPr>
              <w:spacing w:after="0"/>
              <w:rPr>
                <w:rFonts w:ascii="Times New Roman" w:hAnsi="Times New Roman" w:cs="Times New Roman"/>
                <w:sz w:val="20"/>
              </w:rPr>
            </w:pPr>
            <w:r w:rsidRPr="005A7E2D">
              <w:rPr>
                <w:rFonts w:ascii="Times New Roman" w:hAnsi="Times New Roman" w:cs="Times New Roman"/>
              </w:rPr>
              <w:fldChar w:fldCharType="begin">
                <w:ffData>
                  <w:name w:val="Text2"/>
                  <w:enabled/>
                  <w:calcOnExit w:val="0"/>
                  <w:textInput/>
                </w:ffData>
              </w:fldChar>
            </w:r>
            <w:bookmarkStart w:id="1" w:name="Text2"/>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00EB7063">
              <w:rPr>
                <w:rFonts w:ascii="Times New Roman" w:hAnsi="Times New Roman" w:cs="Times New Roman"/>
              </w:rPr>
              <w:t> </w:t>
            </w:r>
            <w:r w:rsidR="00EB7063">
              <w:rPr>
                <w:rFonts w:ascii="Times New Roman" w:hAnsi="Times New Roman" w:cs="Times New Roman"/>
              </w:rPr>
              <w:t> </w:t>
            </w:r>
            <w:r w:rsidR="00EB7063">
              <w:rPr>
                <w:rFonts w:ascii="Times New Roman" w:hAnsi="Times New Roman" w:cs="Times New Roman"/>
              </w:rPr>
              <w:t> </w:t>
            </w:r>
            <w:r w:rsidR="00EB7063">
              <w:rPr>
                <w:rFonts w:ascii="Times New Roman" w:hAnsi="Times New Roman" w:cs="Times New Roman"/>
              </w:rPr>
              <w:t> </w:t>
            </w:r>
            <w:r w:rsidR="00EB7063">
              <w:rPr>
                <w:rFonts w:ascii="Times New Roman" w:hAnsi="Times New Roman" w:cs="Times New Roman"/>
              </w:rPr>
              <w:t> </w:t>
            </w:r>
            <w:r w:rsidRPr="005A7E2D">
              <w:rPr>
                <w:rFonts w:ascii="Times New Roman" w:hAnsi="Times New Roman" w:cs="Times New Roman"/>
              </w:rPr>
              <w:fldChar w:fldCharType="end"/>
            </w:r>
            <w:bookmarkEnd w:id="1"/>
          </w:p>
        </w:tc>
      </w:tr>
    </w:tbl>
    <w:p w14:paraId="29979517" w14:textId="409F476A" w:rsidR="00A671A6" w:rsidRPr="00830B93" w:rsidRDefault="00A671A6" w:rsidP="007106DB">
      <w:pPr>
        <w:spacing w:after="0"/>
        <w:rPr>
          <w:rFonts w:ascii="Arial" w:hAnsi="Arial" w:cs="Arial"/>
          <w:sz w:val="18"/>
          <w:szCs w:val="18"/>
        </w:rPr>
      </w:pPr>
    </w:p>
    <w:p w14:paraId="529E65E4" w14:textId="77777777" w:rsidR="00631CFB" w:rsidRPr="00830B93" w:rsidRDefault="00631CFB" w:rsidP="00631CFB">
      <w:pPr>
        <w:spacing w:after="0"/>
        <w:ind w:left="360"/>
        <w:rPr>
          <w:rFonts w:ascii="Arial" w:hAnsi="Arial" w:cs="Arial"/>
          <w:sz w:val="20"/>
        </w:rPr>
      </w:pPr>
      <w:r w:rsidRPr="00830B93">
        <w:rPr>
          <w:rFonts w:ascii="Arial" w:hAnsi="Arial" w:cs="Arial"/>
          <w:sz w:val="20"/>
          <w:szCs w:val="20"/>
        </w:rPr>
        <w:t xml:space="preserve">Total estimated </w:t>
      </w:r>
      <w:r w:rsidRPr="00830B93">
        <w:rPr>
          <w:rFonts w:ascii="Arial" w:hAnsi="Arial" w:cs="Arial"/>
          <w:b/>
          <w:sz w:val="20"/>
          <w:szCs w:val="20"/>
        </w:rPr>
        <w:t>dollars</w:t>
      </w:r>
      <w:r w:rsidRPr="00830B93">
        <w:rPr>
          <w:rFonts w:ascii="Arial" w:hAnsi="Arial" w:cs="Arial"/>
          <w:sz w:val="20"/>
          <w:szCs w:val="20"/>
        </w:rPr>
        <w:t xml:space="preserve"> spent serving </w:t>
      </w:r>
      <w:r>
        <w:rPr>
          <w:rFonts w:ascii="Arial" w:hAnsi="Arial" w:cs="Arial"/>
          <w:sz w:val="20"/>
          <w:szCs w:val="20"/>
        </w:rPr>
        <w:t>people</w:t>
      </w:r>
      <w:r w:rsidRPr="00830B93">
        <w:rPr>
          <w:rFonts w:ascii="Arial" w:hAnsi="Arial" w:cs="Arial"/>
          <w:sz w:val="20"/>
          <w:szCs w:val="20"/>
        </w:rPr>
        <w:t xml:space="preserve"> with substance use disorder in calendar year </w:t>
      </w:r>
      <w:r w:rsidRPr="00830B93">
        <w:rPr>
          <w:rFonts w:ascii="Arial" w:hAnsi="Arial" w:cs="Arial"/>
          <w:b/>
          <w:color w:val="000000" w:themeColor="text1"/>
          <w:sz w:val="20"/>
          <w:szCs w:val="20"/>
        </w:rPr>
        <w:t>2022</w:t>
      </w:r>
      <w:r w:rsidRPr="00830B93">
        <w:rPr>
          <w:rFonts w:ascii="Arial" w:hAnsi="Arial" w:cs="Arial"/>
          <w:b/>
          <w:sz w:val="20"/>
          <w:szCs w:val="20"/>
        </w:rPr>
        <w:t>.</w:t>
      </w:r>
    </w:p>
    <w:tbl>
      <w:tblPr>
        <w:tblStyle w:val="TableGrid"/>
        <w:tblW w:w="10530" w:type="dxa"/>
        <w:tblInd w:w="355" w:type="dxa"/>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0F6839" w:rsidRPr="00830B93" w14:paraId="7137F9BA" w14:textId="77777777" w:rsidTr="004301BA">
        <w:tc>
          <w:tcPr>
            <w:tcW w:w="10530" w:type="dxa"/>
            <w:vAlign w:val="center"/>
          </w:tcPr>
          <w:p w14:paraId="675CE131" w14:textId="77777777" w:rsidR="000F6839" w:rsidRPr="00830B93" w:rsidRDefault="002C7B43" w:rsidP="004301BA">
            <w:pPr>
              <w:spacing w:after="0"/>
              <w:rPr>
                <w:rFonts w:ascii="Arial" w:hAnsi="Arial" w:cs="Arial"/>
                <w:sz w:val="20"/>
              </w:rPr>
            </w:pPr>
            <w:r w:rsidRPr="00830B93">
              <w:rPr>
                <w:rFonts w:ascii="Arial" w:hAnsi="Arial" w:cs="Arial"/>
                <w:sz w:val="20"/>
              </w:rPr>
              <w:t>$</w:t>
            </w:r>
            <w:r w:rsidR="00486D13" w:rsidRPr="005A7E2D">
              <w:rPr>
                <w:rFonts w:ascii="Times New Roman" w:hAnsi="Times New Roman" w:cs="Times New Roman"/>
              </w:rPr>
              <w:fldChar w:fldCharType="begin">
                <w:ffData>
                  <w:name w:val="Text3"/>
                  <w:enabled/>
                  <w:calcOnExit w:val="0"/>
                  <w:textInput/>
                </w:ffData>
              </w:fldChar>
            </w:r>
            <w:bookmarkStart w:id="2" w:name="Text3"/>
            <w:r w:rsidR="00486D13" w:rsidRPr="005A7E2D">
              <w:rPr>
                <w:rFonts w:ascii="Times New Roman" w:hAnsi="Times New Roman" w:cs="Times New Roman"/>
                <w:szCs w:val="22"/>
              </w:rPr>
              <w:instrText xml:space="preserve"> FORMTEXT </w:instrText>
            </w:r>
            <w:r w:rsidR="00486D13" w:rsidRPr="005A7E2D">
              <w:rPr>
                <w:rFonts w:ascii="Times New Roman" w:hAnsi="Times New Roman" w:cs="Times New Roman"/>
              </w:rPr>
            </w:r>
            <w:r w:rsidR="00486D13" w:rsidRPr="005A7E2D">
              <w:rPr>
                <w:rFonts w:ascii="Times New Roman" w:hAnsi="Times New Roman" w:cs="Times New Roman"/>
              </w:rPr>
              <w:fldChar w:fldCharType="separate"/>
            </w:r>
            <w:r w:rsidR="00486D13" w:rsidRPr="005A7E2D">
              <w:rPr>
                <w:rFonts w:ascii="Times New Roman" w:hAnsi="Times New Roman" w:cs="Times New Roman"/>
                <w:noProof/>
                <w:szCs w:val="22"/>
              </w:rPr>
              <w:t> </w:t>
            </w:r>
            <w:r w:rsidR="00486D13" w:rsidRPr="005A7E2D">
              <w:rPr>
                <w:rFonts w:ascii="Times New Roman" w:hAnsi="Times New Roman" w:cs="Times New Roman"/>
                <w:noProof/>
                <w:szCs w:val="22"/>
              </w:rPr>
              <w:t> </w:t>
            </w:r>
            <w:r w:rsidR="00486D13" w:rsidRPr="005A7E2D">
              <w:rPr>
                <w:rFonts w:ascii="Times New Roman" w:hAnsi="Times New Roman" w:cs="Times New Roman"/>
                <w:noProof/>
                <w:szCs w:val="22"/>
              </w:rPr>
              <w:t> </w:t>
            </w:r>
            <w:r w:rsidR="00486D13" w:rsidRPr="005A7E2D">
              <w:rPr>
                <w:rFonts w:ascii="Times New Roman" w:hAnsi="Times New Roman" w:cs="Times New Roman"/>
                <w:noProof/>
                <w:szCs w:val="22"/>
              </w:rPr>
              <w:t> </w:t>
            </w:r>
            <w:r w:rsidR="00486D13" w:rsidRPr="005A7E2D">
              <w:rPr>
                <w:rFonts w:ascii="Times New Roman" w:hAnsi="Times New Roman" w:cs="Times New Roman"/>
                <w:noProof/>
                <w:szCs w:val="22"/>
              </w:rPr>
              <w:t> </w:t>
            </w:r>
            <w:r w:rsidR="00486D13" w:rsidRPr="005A7E2D">
              <w:rPr>
                <w:rFonts w:ascii="Times New Roman" w:hAnsi="Times New Roman" w:cs="Times New Roman"/>
              </w:rPr>
              <w:fldChar w:fldCharType="end"/>
            </w:r>
            <w:bookmarkEnd w:id="2"/>
          </w:p>
        </w:tc>
      </w:tr>
    </w:tbl>
    <w:p w14:paraId="0B74481D" w14:textId="2D6D50B8" w:rsidR="000F6839" w:rsidRDefault="000F6839" w:rsidP="000F6839">
      <w:pPr>
        <w:spacing w:after="0"/>
        <w:rPr>
          <w:rFonts w:ascii="Arial" w:hAnsi="Arial" w:cs="Arial"/>
          <w:sz w:val="20"/>
          <w:szCs w:val="20"/>
        </w:rPr>
      </w:pPr>
    </w:p>
    <w:p w14:paraId="6F8674A8" w14:textId="3B05DEF6" w:rsidR="000F6839" w:rsidRPr="00830B93" w:rsidRDefault="000F6839" w:rsidP="000F6839">
      <w:pPr>
        <w:spacing w:after="0"/>
        <w:rPr>
          <w:rFonts w:ascii="Arial" w:hAnsi="Arial" w:cs="Arial"/>
          <w:sz w:val="20"/>
          <w:szCs w:val="20"/>
        </w:rPr>
      </w:pPr>
    </w:p>
    <w:p w14:paraId="210FE75A"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eastAsia="Times New Roman" w:hAnsi="Arial" w:cs="Arial"/>
          <w:sz w:val="20"/>
          <w:szCs w:val="20"/>
        </w:rPr>
        <w:t xml:space="preserve">All </w:t>
      </w:r>
      <w:r>
        <w:rPr>
          <w:rFonts w:ascii="Arial" w:eastAsia="Times New Roman" w:hAnsi="Arial" w:cs="Arial"/>
          <w:sz w:val="20"/>
          <w:szCs w:val="20"/>
        </w:rPr>
        <w:t>Substance Abuse and Mental Health Services Administration (</w:t>
      </w:r>
      <w:r w:rsidRPr="00830B93">
        <w:rPr>
          <w:rFonts w:ascii="Arial" w:eastAsia="Times New Roman" w:hAnsi="Arial" w:cs="Arial"/>
          <w:sz w:val="20"/>
          <w:szCs w:val="20"/>
        </w:rPr>
        <w:t>SAMHSA</w:t>
      </w:r>
      <w:r>
        <w:rPr>
          <w:rFonts w:ascii="Arial" w:eastAsia="Times New Roman" w:hAnsi="Arial" w:cs="Arial"/>
          <w:sz w:val="20"/>
          <w:szCs w:val="20"/>
        </w:rPr>
        <w:t>) discretionary grant</w:t>
      </w:r>
      <w:r w:rsidRPr="00830B93">
        <w:rPr>
          <w:rFonts w:ascii="Arial" w:eastAsia="Times New Roman" w:hAnsi="Arial" w:cs="Arial"/>
          <w:sz w:val="20"/>
          <w:szCs w:val="20"/>
        </w:rPr>
        <w:t xml:space="preserve"> recipients are required to collect and report data so that SAMHSA can meet its obligations under the Government Performance and Results (GPRA) Modernization Act of 2010. </w:t>
      </w:r>
      <w:r w:rsidRPr="001A73F3">
        <w:rPr>
          <w:rFonts w:ascii="Arial" w:eastAsia="Times New Roman" w:hAnsi="Arial" w:cs="Arial"/>
          <w:b/>
          <w:bCs/>
          <w:sz w:val="20"/>
          <w:szCs w:val="20"/>
        </w:rPr>
        <w:t>The data collection specified by SAMHSA is a required component of the grant</w:t>
      </w:r>
      <w:r>
        <w:rPr>
          <w:rFonts w:ascii="Arial" w:eastAsia="Times New Roman" w:hAnsi="Arial" w:cs="Arial"/>
          <w:sz w:val="20"/>
          <w:szCs w:val="20"/>
        </w:rPr>
        <w:t>.</w:t>
      </w:r>
      <w:r w:rsidRPr="00830B93">
        <w:rPr>
          <w:rFonts w:ascii="Arial" w:eastAsia="Times New Roman" w:hAnsi="Arial" w:cs="Arial"/>
          <w:sz w:val="20"/>
          <w:szCs w:val="20"/>
        </w:rPr>
        <w:t xml:space="preserve"> </w:t>
      </w:r>
      <w:r>
        <w:rPr>
          <w:rFonts w:ascii="Arial" w:eastAsia="Times New Roman" w:hAnsi="Arial" w:cs="Arial"/>
          <w:sz w:val="20"/>
          <w:szCs w:val="20"/>
        </w:rPr>
        <w:t>C</w:t>
      </w:r>
      <w:r w:rsidRPr="00830B93">
        <w:rPr>
          <w:rFonts w:ascii="Arial" w:eastAsia="Times New Roman" w:hAnsi="Arial" w:cs="Arial"/>
          <w:sz w:val="20"/>
          <w:szCs w:val="20"/>
        </w:rPr>
        <w:t xml:space="preserve">ompliance with this requirement will be monitored throughout the performance of the grant. </w:t>
      </w:r>
      <w:r>
        <w:rPr>
          <w:rFonts w:ascii="Arial" w:eastAsia="Times New Roman" w:hAnsi="Arial" w:cs="Arial"/>
          <w:sz w:val="20"/>
          <w:szCs w:val="20"/>
        </w:rPr>
        <w:t>P</w:t>
      </w:r>
      <w:r w:rsidRPr="00830B93">
        <w:rPr>
          <w:rFonts w:ascii="Arial" w:eastAsia="Times New Roman" w:hAnsi="Arial" w:cs="Arial"/>
          <w:sz w:val="20"/>
          <w:szCs w:val="20"/>
        </w:rPr>
        <w:t>rovide the following information:</w:t>
      </w:r>
    </w:p>
    <w:p w14:paraId="6835AE21" w14:textId="33E53325" w:rsidR="000F6839" w:rsidRPr="00830B93" w:rsidRDefault="000F6839" w:rsidP="000F6839">
      <w:pPr>
        <w:spacing w:after="0"/>
        <w:rPr>
          <w:rFonts w:ascii="Arial" w:hAnsi="Arial" w:cs="Arial"/>
          <w:sz w:val="20"/>
          <w:szCs w:val="20"/>
        </w:rPr>
      </w:pPr>
    </w:p>
    <w:tbl>
      <w:tblPr>
        <w:tblStyle w:val="TableGrid"/>
        <w:tblW w:w="10440" w:type="dxa"/>
        <w:tblInd w:w="355" w:type="dxa"/>
        <w:tblLook w:val="04A0" w:firstRow="1" w:lastRow="0" w:firstColumn="1" w:lastColumn="0" w:noHBand="0" w:noVBand="1"/>
      </w:tblPr>
      <w:tblGrid>
        <w:gridCol w:w="8190"/>
        <w:gridCol w:w="2250"/>
      </w:tblGrid>
      <w:tr w:rsidR="00E83A0D" w:rsidRPr="00830B93" w14:paraId="4AF0F907" w14:textId="77777777" w:rsidTr="007D770E">
        <w:tc>
          <w:tcPr>
            <w:tcW w:w="10440" w:type="dxa"/>
            <w:gridSpan w:val="2"/>
            <w:shd w:val="clear" w:color="auto" w:fill="D9D9D9" w:themeFill="background1" w:themeFillShade="D9"/>
          </w:tcPr>
          <w:p w14:paraId="0EF793E2" w14:textId="4299E832" w:rsidR="00E83A0D" w:rsidRPr="00830B93" w:rsidRDefault="00290D3F" w:rsidP="00E83A0D">
            <w:pPr>
              <w:spacing w:after="0"/>
              <w:jc w:val="center"/>
              <w:rPr>
                <w:rFonts w:ascii="Arial" w:hAnsi="Arial" w:cs="Arial"/>
                <w:sz w:val="20"/>
              </w:rPr>
            </w:pPr>
            <w:r>
              <w:rPr>
                <w:rFonts w:ascii="Arial" w:hAnsi="Arial" w:cs="Arial"/>
                <w:b/>
                <w:sz w:val="20"/>
              </w:rPr>
              <w:t xml:space="preserve">Projected </w:t>
            </w:r>
            <w:r w:rsidR="00E83A0D" w:rsidRPr="00830B93">
              <w:rPr>
                <w:rFonts w:ascii="Arial" w:hAnsi="Arial" w:cs="Arial"/>
                <w:b/>
                <w:sz w:val="20"/>
              </w:rPr>
              <w:t>Number of Unduplicated Individuals to be Served with Grant Funds</w:t>
            </w:r>
          </w:p>
        </w:tc>
      </w:tr>
      <w:tr w:rsidR="00E83A0D" w:rsidRPr="00830B93" w14:paraId="1BCD0191" w14:textId="77777777" w:rsidTr="007D770E">
        <w:tc>
          <w:tcPr>
            <w:tcW w:w="8190" w:type="dxa"/>
            <w:shd w:val="clear" w:color="auto" w:fill="D9D9D9" w:themeFill="background1" w:themeFillShade="D9"/>
          </w:tcPr>
          <w:p w14:paraId="1338A85A" w14:textId="0B0EB4FB" w:rsidR="00E83A0D" w:rsidRPr="00830B93" w:rsidRDefault="00E83A0D" w:rsidP="00E83A0D">
            <w:pPr>
              <w:spacing w:after="0"/>
              <w:jc w:val="center"/>
              <w:rPr>
                <w:rFonts w:ascii="Arial" w:hAnsi="Arial" w:cs="Arial"/>
                <w:b/>
                <w:sz w:val="20"/>
              </w:rPr>
            </w:pPr>
            <w:r w:rsidRPr="00830B93">
              <w:rPr>
                <w:rFonts w:ascii="Arial" w:hAnsi="Arial" w:cs="Arial"/>
                <w:b/>
                <w:sz w:val="20"/>
              </w:rPr>
              <w:t>Service</w:t>
            </w:r>
          </w:p>
        </w:tc>
        <w:tc>
          <w:tcPr>
            <w:tcW w:w="2250" w:type="dxa"/>
            <w:shd w:val="clear" w:color="auto" w:fill="D9D9D9" w:themeFill="background1" w:themeFillShade="D9"/>
          </w:tcPr>
          <w:p w14:paraId="7F9F42A7" w14:textId="48ED2B53" w:rsidR="00E83A0D" w:rsidRPr="00830B93" w:rsidRDefault="00E83A0D" w:rsidP="00E83A0D">
            <w:pPr>
              <w:spacing w:after="0"/>
              <w:jc w:val="center"/>
              <w:rPr>
                <w:rFonts w:ascii="Arial" w:hAnsi="Arial" w:cs="Arial"/>
                <w:sz w:val="20"/>
              </w:rPr>
            </w:pPr>
            <w:r w:rsidRPr="00830B93">
              <w:rPr>
                <w:rFonts w:ascii="Arial" w:hAnsi="Arial" w:cs="Arial"/>
                <w:b/>
                <w:sz w:val="20"/>
              </w:rPr>
              <w:t>9/30/2023</w:t>
            </w:r>
            <w:r w:rsidR="006F3CDA">
              <w:rPr>
                <w:rFonts w:ascii="Arial" w:hAnsi="Arial" w:cs="Arial"/>
                <w:b/>
                <w:sz w:val="20"/>
              </w:rPr>
              <w:t xml:space="preserve"> – </w:t>
            </w:r>
            <w:r w:rsidRPr="00830B93">
              <w:rPr>
                <w:rFonts w:ascii="Arial" w:hAnsi="Arial" w:cs="Arial"/>
                <w:b/>
                <w:sz w:val="20"/>
              </w:rPr>
              <w:t>9/29/2024</w:t>
            </w:r>
          </w:p>
        </w:tc>
      </w:tr>
      <w:tr w:rsidR="00E83A0D" w:rsidRPr="00830B93" w14:paraId="480B74FB" w14:textId="77777777" w:rsidTr="007D770E">
        <w:tc>
          <w:tcPr>
            <w:tcW w:w="8190" w:type="dxa"/>
          </w:tcPr>
          <w:p w14:paraId="3F7DCFFB" w14:textId="04E09917" w:rsidR="00E83A0D" w:rsidRPr="00830B93" w:rsidRDefault="00E83A0D" w:rsidP="00B556B2">
            <w:pPr>
              <w:spacing w:after="0"/>
              <w:rPr>
                <w:rFonts w:ascii="Arial" w:hAnsi="Arial" w:cs="Arial"/>
                <w:sz w:val="20"/>
              </w:rPr>
            </w:pPr>
            <w:r w:rsidRPr="00830B93">
              <w:rPr>
                <w:rFonts w:ascii="Arial" w:hAnsi="Arial" w:cs="Arial"/>
                <w:bCs/>
                <w:sz w:val="20"/>
              </w:rPr>
              <w:t>Treatment Services (GPRA-required)</w:t>
            </w:r>
          </w:p>
        </w:tc>
        <w:tc>
          <w:tcPr>
            <w:tcW w:w="2250" w:type="dxa"/>
          </w:tcPr>
          <w:p w14:paraId="0805228F" w14:textId="77777777" w:rsidR="00E83A0D" w:rsidRPr="005A7E2D" w:rsidRDefault="00486D13" w:rsidP="00B457EE">
            <w:pPr>
              <w:spacing w:after="0"/>
              <w:jc w:val="center"/>
              <w:rPr>
                <w:rFonts w:ascii="Times New Roman" w:hAnsi="Times New Roman" w:cs="Times New Roman"/>
                <w:szCs w:val="22"/>
              </w:rPr>
            </w:pPr>
            <w:r w:rsidRPr="005A7E2D">
              <w:rPr>
                <w:rFonts w:ascii="Times New Roman" w:hAnsi="Times New Roman" w:cs="Times New Roman"/>
              </w:rPr>
              <w:fldChar w:fldCharType="begin">
                <w:ffData>
                  <w:name w:val="Text4"/>
                  <w:enabled/>
                  <w:calcOnExit w:val="0"/>
                  <w:textInput/>
                </w:ffData>
              </w:fldChar>
            </w:r>
            <w:bookmarkStart w:id="3" w:name="Text4"/>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3"/>
          </w:p>
        </w:tc>
      </w:tr>
      <w:tr w:rsidR="00E83A0D" w:rsidRPr="00830B93" w14:paraId="69682767" w14:textId="77777777" w:rsidTr="007D770E">
        <w:tc>
          <w:tcPr>
            <w:tcW w:w="8190" w:type="dxa"/>
          </w:tcPr>
          <w:p w14:paraId="1E6D056E" w14:textId="03BC1F3D" w:rsidR="00E83A0D" w:rsidRPr="00830B93" w:rsidRDefault="00E83A0D" w:rsidP="00B556B2">
            <w:pPr>
              <w:spacing w:after="0"/>
              <w:rPr>
                <w:rFonts w:ascii="Arial" w:hAnsi="Arial" w:cs="Arial"/>
                <w:bCs/>
                <w:sz w:val="20"/>
              </w:rPr>
            </w:pPr>
            <w:r w:rsidRPr="00830B93">
              <w:rPr>
                <w:rFonts w:ascii="Arial" w:hAnsi="Arial" w:cs="Arial"/>
                <w:bCs/>
                <w:sz w:val="20"/>
              </w:rPr>
              <w:t>Recovery Support Services (GPRA-required)</w:t>
            </w:r>
          </w:p>
        </w:tc>
        <w:tc>
          <w:tcPr>
            <w:tcW w:w="2250" w:type="dxa"/>
          </w:tcPr>
          <w:p w14:paraId="57761DF5" w14:textId="77777777" w:rsidR="00E83A0D" w:rsidRPr="005A7E2D" w:rsidRDefault="00486D13" w:rsidP="00B457EE">
            <w:pPr>
              <w:spacing w:after="0"/>
              <w:jc w:val="center"/>
              <w:rPr>
                <w:rFonts w:ascii="Times New Roman" w:hAnsi="Times New Roman" w:cs="Times New Roman"/>
                <w:szCs w:val="22"/>
              </w:rPr>
            </w:pPr>
            <w:r w:rsidRPr="005A7E2D">
              <w:rPr>
                <w:rFonts w:ascii="Times New Roman" w:hAnsi="Times New Roman" w:cs="Times New Roman"/>
              </w:rPr>
              <w:fldChar w:fldCharType="begin">
                <w:ffData>
                  <w:name w:val="Text5"/>
                  <w:enabled/>
                  <w:calcOnExit w:val="0"/>
                  <w:textInput/>
                </w:ffData>
              </w:fldChar>
            </w:r>
            <w:bookmarkStart w:id="4" w:name="Text5"/>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4"/>
          </w:p>
        </w:tc>
      </w:tr>
      <w:tr w:rsidR="00E83A0D" w:rsidRPr="00830B93" w14:paraId="34087A54" w14:textId="77777777" w:rsidTr="007D770E">
        <w:tc>
          <w:tcPr>
            <w:tcW w:w="8190" w:type="dxa"/>
          </w:tcPr>
          <w:p w14:paraId="7458588B" w14:textId="5CE9C070" w:rsidR="00E83A0D" w:rsidRPr="00830B93" w:rsidRDefault="00E83A0D" w:rsidP="00B556B2">
            <w:pPr>
              <w:spacing w:after="0"/>
              <w:rPr>
                <w:rFonts w:ascii="Arial" w:hAnsi="Arial" w:cs="Arial"/>
                <w:bCs/>
                <w:sz w:val="20"/>
              </w:rPr>
            </w:pPr>
            <w:r w:rsidRPr="00830B93">
              <w:rPr>
                <w:rFonts w:ascii="Arial" w:hAnsi="Arial" w:cs="Arial"/>
                <w:bCs/>
                <w:sz w:val="20"/>
              </w:rPr>
              <w:t>Prevention Services and/or Harm Reduction Services (if applicable)</w:t>
            </w:r>
          </w:p>
        </w:tc>
        <w:tc>
          <w:tcPr>
            <w:tcW w:w="2250" w:type="dxa"/>
          </w:tcPr>
          <w:p w14:paraId="7C49BDEF" w14:textId="77777777" w:rsidR="00E83A0D" w:rsidRPr="005A7E2D" w:rsidRDefault="00486D13" w:rsidP="00B457EE">
            <w:pPr>
              <w:spacing w:after="0"/>
              <w:jc w:val="center"/>
              <w:rPr>
                <w:rFonts w:ascii="Times New Roman" w:hAnsi="Times New Roman" w:cs="Times New Roman"/>
                <w:szCs w:val="22"/>
              </w:rPr>
            </w:pPr>
            <w:r w:rsidRPr="005A7E2D">
              <w:rPr>
                <w:rFonts w:ascii="Times New Roman" w:hAnsi="Times New Roman" w:cs="Times New Roman"/>
              </w:rPr>
              <w:fldChar w:fldCharType="begin">
                <w:ffData>
                  <w:name w:val="Text6"/>
                  <w:enabled/>
                  <w:calcOnExit w:val="0"/>
                  <w:textInput/>
                </w:ffData>
              </w:fldChar>
            </w:r>
            <w:bookmarkStart w:id="5" w:name="Text6"/>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5"/>
          </w:p>
        </w:tc>
      </w:tr>
      <w:tr w:rsidR="00E83A0D" w:rsidRPr="00830B93" w14:paraId="3D0E3B5F" w14:textId="77777777" w:rsidTr="007D770E">
        <w:tc>
          <w:tcPr>
            <w:tcW w:w="8190" w:type="dxa"/>
          </w:tcPr>
          <w:p w14:paraId="7732B61A" w14:textId="744230E6" w:rsidR="00E83A0D" w:rsidRDefault="00E83A0D" w:rsidP="00B556B2">
            <w:pPr>
              <w:spacing w:after="0"/>
              <w:rPr>
                <w:rFonts w:ascii="Arial" w:hAnsi="Arial" w:cs="Arial"/>
                <w:bCs/>
                <w:sz w:val="20"/>
              </w:rPr>
            </w:pPr>
            <w:r w:rsidRPr="00830B93">
              <w:rPr>
                <w:rFonts w:ascii="Arial" w:hAnsi="Arial" w:cs="Arial"/>
                <w:bCs/>
                <w:sz w:val="20"/>
              </w:rPr>
              <w:t xml:space="preserve">Total </w:t>
            </w:r>
            <w:r w:rsidR="001A73F3">
              <w:rPr>
                <w:rFonts w:ascii="Arial" w:hAnsi="Arial" w:cs="Arial"/>
                <w:bCs/>
                <w:sz w:val="20"/>
              </w:rPr>
              <w:t>individuals</w:t>
            </w:r>
            <w:r w:rsidR="001A73F3" w:rsidRPr="00830B93">
              <w:rPr>
                <w:rFonts w:ascii="Arial" w:hAnsi="Arial" w:cs="Arial"/>
                <w:bCs/>
                <w:sz w:val="20"/>
              </w:rPr>
              <w:t xml:space="preserve"> </w:t>
            </w:r>
            <w:r w:rsidRPr="00830B93">
              <w:rPr>
                <w:rFonts w:ascii="Arial" w:hAnsi="Arial" w:cs="Arial"/>
                <w:bCs/>
                <w:sz w:val="20"/>
              </w:rPr>
              <w:t>served under treatment and recovery services</w:t>
            </w:r>
          </w:p>
          <w:p w14:paraId="3A1418CB" w14:textId="73777C48" w:rsidR="005973FE" w:rsidRPr="00830B93" w:rsidRDefault="005973FE" w:rsidP="007D770E">
            <w:pPr>
              <w:spacing w:after="0"/>
              <w:ind w:left="162"/>
              <w:rPr>
                <w:rFonts w:ascii="Arial" w:hAnsi="Arial" w:cs="Arial"/>
                <w:bCs/>
                <w:sz w:val="20"/>
              </w:rPr>
            </w:pPr>
            <w:r>
              <w:rPr>
                <w:rFonts w:ascii="Arial" w:hAnsi="Arial" w:cs="Arial"/>
                <w:sz w:val="20"/>
              </w:rPr>
              <w:t>(</w:t>
            </w:r>
            <w:r w:rsidRPr="00830B93">
              <w:rPr>
                <w:rFonts w:ascii="Arial" w:hAnsi="Arial" w:cs="Arial"/>
                <w:sz w:val="20"/>
              </w:rPr>
              <w:t>These should</w:t>
            </w:r>
            <w:r w:rsidR="00E9124E">
              <w:rPr>
                <w:rFonts w:ascii="Arial" w:hAnsi="Arial" w:cs="Arial"/>
                <w:sz w:val="20"/>
              </w:rPr>
              <w:t xml:space="preserve"> be</w:t>
            </w:r>
            <w:r w:rsidRPr="00830B93">
              <w:rPr>
                <w:rFonts w:ascii="Arial" w:hAnsi="Arial" w:cs="Arial"/>
                <w:sz w:val="20"/>
              </w:rPr>
              <w:t xml:space="preserve"> unduplicated </w:t>
            </w:r>
            <w:r w:rsidR="001A73F3">
              <w:rPr>
                <w:rFonts w:ascii="Arial" w:hAnsi="Arial" w:cs="Arial"/>
                <w:sz w:val="20"/>
              </w:rPr>
              <w:t>individuals</w:t>
            </w:r>
            <w:r w:rsidRPr="00830B93">
              <w:rPr>
                <w:rFonts w:ascii="Arial" w:hAnsi="Arial" w:cs="Arial"/>
                <w:sz w:val="20"/>
              </w:rPr>
              <w:t>. For example, if an individual receives treatment services and receives recovery support services, they only receive one GPRA.</w:t>
            </w:r>
            <w:r>
              <w:rPr>
                <w:rFonts w:ascii="Arial" w:hAnsi="Arial" w:cs="Arial"/>
                <w:sz w:val="20"/>
              </w:rPr>
              <w:t>)</w:t>
            </w:r>
          </w:p>
        </w:tc>
        <w:tc>
          <w:tcPr>
            <w:tcW w:w="2250" w:type="dxa"/>
          </w:tcPr>
          <w:p w14:paraId="3007F9FD" w14:textId="77777777" w:rsidR="00E83A0D" w:rsidRPr="005A7E2D" w:rsidRDefault="00486D13" w:rsidP="00B457EE">
            <w:pPr>
              <w:spacing w:after="0"/>
              <w:jc w:val="center"/>
              <w:rPr>
                <w:rFonts w:ascii="Times New Roman" w:hAnsi="Times New Roman" w:cs="Times New Roman"/>
                <w:szCs w:val="22"/>
              </w:rPr>
            </w:pPr>
            <w:r w:rsidRPr="005A7E2D">
              <w:rPr>
                <w:rFonts w:ascii="Times New Roman" w:hAnsi="Times New Roman" w:cs="Times New Roman"/>
              </w:rPr>
              <w:fldChar w:fldCharType="begin">
                <w:ffData>
                  <w:name w:val="Text7"/>
                  <w:enabled/>
                  <w:calcOnExit w:val="0"/>
                  <w:textInput/>
                </w:ffData>
              </w:fldChar>
            </w:r>
            <w:bookmarkStart w:id="6" w:name="Text7"/>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6"/>
          </w:p>
        </w:tc>
      </w:tr>
    </w:tbl>
    <w:p w14:paraId="0CA35BDD" w14:textId="37CC2CC6" w:rsidR="000F6839" w:rsidRPr="00830B93" w:rsidRDefault="000F6839" w:rsidP="00B457EE">
      <w:pPr>
        <w:spacing w:after="0"/>
        <w:rPr>
          <w:rFonts w:ascii="Arial" w:hAnsi="Arial" w:cs="Arial"/>
          <w:sz w:val="20"/>
          <w:szCs w:val="20"/>
        </w:rPr>
      </w:pPr>
    </w:p>
    <w:p w14:paraId="76AD470F" w14:textId="07522FB1" w:rsidR="005A7E2D" w:rsidRDefault="005A7E2D" w:rsidP="005A7E2D">
      <w:pPr>
        <w:pStyle w:val="ListParagraph"/>
        <w:spacing w:after="0"/>
        <w:ind w:left="360"/>
        <w:rPr>
          <w:rFonts w:ascii="Arial" w:hAnsi="Arial" w:cs="Arial"/>
          <w:sz w:val="20"/>
          <w:szCs w:val="20"/>
        </w:rPr>
      </w:pPr>
    </w:p>
    <w:p w14:paraId="4D6FE7A8" w14:textId="4F2AA0E2" w:rsidR="005A7E2D" w:rsidRDefault="005A7E2D" w:rsidP="005A7E2D">
      <w:pPr>
        <w:pStyle w:val="ListParagraph"/>
        <w:spacing w:after="0"/>
        <w:ind w:left="360"/>
        <w:rPr>
          <w:rFonts w:ascii="Arial" w:hAnsi="Arial" w:cs="Arial"/>
          <w:sz w:val="20"/>
          <w:szCs w:val="20"/>
        </w:rPr>
      </w:pPr>
    </w:p>
    <w:p w14:paraId="1A3AABD5"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sz w:val="20"/>
          <w:szCs w:val="20"/>
        </w:rPr>
        <w:lastRenderedPageBreak/>
        <w:t xml:space="preserve">Total estimated number of </w:t>
      </w:r>
      <w:r w:rsidRPr="00830B93">
        <w:rPr>
          <w:rFonts w:ascii="Arial" w:hAnsi="Arial" w:cs="Arial"/>
          <w:b/>
          <w:sz w:val="20"/>
          <w:szCs w:val="20"/>
        </w:rPr>
        <w:t>unduplicated</w:t>
      </w:r>
      <w:r w:rsidRPr="00830B93">
        <w:rPr>
          <w:rFonts w:ascii="Arial" w:hAnsi="Arial" w:cs="Arial"/>
          <w:sz w:val="20"/>
          <w:szCs w:val="20"/>
        </w:rPr>
        <w:t xml:space="preserve"> </w:t>
      </w:r>
      <w:r>
        <w:rPr>
          <w:rFonts w:ascii="Arial" w:hAnsi="Arial" w:cs="Arial"/>
          <w:sz w:val="20"/>
          <w:szCs w:val="20"/>
        </w:rPr>
        <w:t>individuals</w:t>
      </w:r>
      <w:r w:rsidRPr="00830B93">
        <w:rPr>
          <w:rFonts w:ascii="Arial" w:hAnsi="Arial" w:cs="Arial"/>
          <w:sz w:val="20"/>
          <w:szCs w:val="20"/>
        </w:rPr>
        <w:t xml:space="preserve"> with opioid and</w:t>
      </w:r>
      <w:r>
        <w:rPr>
          <w:rFonts w:ascii="Arial" w:hAnsi="Arial" w:cs="Arial"/>
          <w:sz w:val="20"/>
          <w:szCs w:val="20"/>
        </w:rPr>
        <w:t>/</w:t>
      </w:r>
      <w:r w:rsidRPr="00830B93">
        <w:rPr>
          <w:rFonts w:ascii="Arial" w:hAnsi="Arial" w:cs="Arial"/>
          <w:sz w:val="20"/>
          <w:szCs w:val="20"/>
        </w:rPr>
        <w:t>or stimulant use disorder waiting for services and the date the estimated number was reported</w:t>
      </w:r>
      <w:r w:rsidRPr="006F3CDA">
        <w:rPr>
          <w:rFonts w:ascii="Arial" w:hAnsi="Arial" w:cs="Arial"/>
          <w:sz w:val="20"/>
          <w:szCs w:val="20"/>
        </w:rPr>
        <w:t>.</w:t>
      </w:r>
    </w:p>
    <w:tbl>
      <w:tblPr>
        <w:tblStyle w:val="TableGrid"/>
        <w:tblW w:w="5855" w:type="dxa"/>
        <w:jc w:val="center"/>
        <w:tblLook w:val="04A0" w:firstRow="1" w:lastRow="0" w:firstColumn="1" w:lastColumn="0" w:noHBand="0" w:noVBand="1"/>
      </w:tblPr>
      <w:tblGrid>
        <w:gridCol w:w="2885"/>
        <w:gridCol w:w="990"/>
        <w:gridCol w:w="1980"/>
      </w:tblGrid>
      <w:tr w:rsidR="00B457EE" w:rsidRPr="00830B93" w14:paraId="327773D3" w14:textId="77777777" w:rsidTr="001A73F3">
        <w:trPr>
          <w:jc w:val="center"/>
        </w:trPr>
        <w:tc>
          <w:tcPr>
            <w:tcW w:w="2885" w:type="dxa"/>
            <w:shd w:val="clear" w:color="auto" w:fill="D9D9D9" w:themeFill="background1" w:themeFillShade="D9"/>
          </w:tcPr>
          <w:p w14:paraId="555FC779" w14:textId="05B4EBF0" w:rsidR="00B457EE" w:rsidRPr="00830B93" w:rsidRDefault="00B457EE" w:rsidP="00B556B2">
            <w:pPr>
              <w:spacing w:after="0"/>
              <w:rPr>
                <w:rFonts w:ascii="Arial" w:hAnsi="Arial" w:cs="Arial"/>
                <w:b/>
                <w:bCs/>
                <w:sz w:val="20"/>
              </w:rPr>
            </w:pPr>
            <w:r w:rsidRPr="00830B93">
              <w:rPr>
                <w:rFonts w:ascii="Arial" w:hAnsi="Arial" w:cs="Arial"/>
                <w:b/>
                <w:bCs/>
                <w:sz w:val="20"/>
              </w:rPr>
              <w:t xml:space="preserve"># Unduplicated </w:t>
            </w:r>
            <w:r w:rsidR="001A73F3">
              <w:rPr>
                <w:rFonts w:ascii="Arial" w:hAnsi="Arial" w:cs="Arial"/>
                <w:b/>
                <w:bCs/>
                <w:sz w:val="20"/>
              </w:rPr>
              <w:t>Individuals</w:t>
            </w:r>
          </w:p>
        </w:tc>
        <w:tc>
          <w:tcPr>
            <w:tcW w:w="2970" w:type="dxa"/>
            <w:gridSpan w:val="2"/>
            <w:shd w:val="clear" w:color="auto" w:fill="D9D9D9" w:themeFill="background1" w:themeFillShade="D9"/>
          </w:tcPr>
          <w:p w14:paraId="7207DB5D" w14:textId="00709E0D" w:rsidR="00B457EE" w:rsidRPr="00830B93" w:rsidRDefault="00B457EE" w:rsidP="002C7B43">
            <w:pPr>
              <w:spacing w:after="0"/>
              <w:jc w:val="center"/>
              <w:rPr>
                <w:rFonts w:ascii="Arial" w:hAnsi="Arial" w:cs="Arial"/>
                <w:b/>
                <w:bCs/>
                <w:sz w:val="20"/>
              </w:rPr>
            </w:pPr>
            <w:r w:rsidRPr="00830B93">
              <w:rPr>
                <w:rFonts w:ascii="Arial" w:hAnsi="Arial" w:cs="Arial"/>
                <w:b/>
                <w:bCs/>
                <w:sz w:val="20"/>
              </w:rPr>
              <w:t>As reported on (date)</w:t>
            </w:r>
          </w:p>
        </w:tc>
      </w:tr>
      <w:tr w:rsidR="00B457EE" w:rsidRPr="00830B93" w14:paraId="14493021" w14:textId="77777777" w:rsidTr="001A73F3">
        <w:trPr>
          <w:jc w:val="center"/>
        </w:trPr>
        <w:tc>
          <w:tcPr>
            <w:tcW w:w="2885" w:type="dxa"/>
          </w:tcPr>
          <w:p w14:paraId="6AD891D4" w14:textId="77777777" w:rsidR="00B457EE" w:rsidRPr="005A7E2D" w:rsidRDefault="00486D13" w:rsidP="00B457EE">
            <w:pPr>
              <w:spacing w:after="0"/>
              <w:jc w:val="center"/>
              <w:rPr>
                <w:rFonts w:ascii="Times New Roman" w:hAnsi="Times New Roman" w:cs="Times New Roman"/>
                <w:sz w:val="20"/>
              </w:rPr>
            </w:pPr>
            <w:r w:rsidRPr="005A7E2D">
              <w:rPr>
                <w:rFonts w:ascii="Times New Roman" w:hAnsi="Times New Roman" w:cs="Times New Roman"/>
              </w:rPr>
              <w:fldChar w:fldCharType="begin">
                <w:ffData>
                  <w:name w:val="Text8"/>
                  <w:enabled/>
                  <w:calcOnExit w:val="0"/>
                  <w:textInput/>
                </w:ffData>
              </w:fldChar>
            </w:r>
            <w:bookmarkStart w:id="7" w:name="Text8"/>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7"/>
          </w:p>
        </w:tc>
        <w:tc>
          <w:tcPr>
            <w:tcW w:w="990" w:type="dxa"/>
          </w:tcPr>
          <w:p w14:paraId="429EC06E" w14:textId="6DEAA188" w:rsidR="00B457EE" w:rsidRPr="00830B93" w:rsidRDefault="00B457EE" w:rsidP="00B556B2">
            <w:pPr>
              <w:spacing w:after="0"/>
              <w:rPr>
                <w:rFonts w:ascii="Arial" w:hAnsi="Arial" w:cs="Arial"/>
                <w:sz w:val="20"/>
              </w:rPr>
            </w:pPr>
            <w:r w:rsidRPr="00830B93">
              <w:rPr>
                <w:rFonts w:ascii="Arial" w:hAnsi="Arial" w:cs="Arial"/>
                <w:sz w:val="20"/>
              </w:rPr>
              <w:t>Date:</w:t>
            </w:r>
          </w:p>
        </w:tc>
        <w:tc>
          <w:tcPr>
            <w:tcW w:w="1980" w:type="dxa"/>
          </w:tcPr>
          <w:p w14:paraId="115F68EE" w14:textId="77777777" w:rsidR="00B457EE"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9"/>
                  <w:enabled/>
                  <w:calcOnExit w:val="0"/>
                  <w:textInput/>
                </w:ffData>
              </w:fldChar>
            </w:r>
            <w:bookmarkStart w:id="8" w:name="Text9"/>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8"/>
          </w:p>
        </w:tc>
      </w:tr>
    </w:tbl>
    <w:p w14:paraId="464CA922" w14:textId="253D80E1" w:rsidR="00361C61" w:rsidRPr="00361C61" w:rsidRDefault="00361C61" w:rsidP="00361C61">
      <w:pPr>
        <w:pStyle w:val="ListParagraph"/>
        <w:spacing w:after="0"/>
        <w:ind w:left="360"/>
        <w:rPr>
          <w:rFonts w:ascii="Arial" w:hAnsi="Arial" w:cs="Arial"/>
          <w:sz w:val="20"/>
          <w:szCs w:val="20"/>
        </w:rPr>
      </w:pPr>
    </w:p>
    <w:p w14:paraId="346B4247" w14:textId="77777777" w:rsidR="00361C61" w:rsidRDefault="00361C61" w:rsidP="00361C61">
      <w:pPr>
        <w:pStyle w:val="ListParagraph"/>
        <w:numPr>
          <w:ilvl w:val="0"/>
          <w:numId w:val="11"/>
        </w:numPr>
        <w:spacing w:after="0"/>
        <w:rPr>
          <w:rFonts w:ascii="Arial" w:hAnsi="Arial" w:cs="Arial"/>
          <w:sz w:val="20"/>
          <w:szCs w:val="20"/>
        </w:rPr>
      </w:pPr>
      <w:r w:rsidRPr="001A73F3">
        <w:rPr>
          <w:noProof/>
        </w:rPr>
        <mc:AlternateContent>
          <mc:Choice Requires="wps">
            <w:drawing>
              <wp:anchor distT="45720" distB="45720" distL="114300" distR="114300" simplePos="0" relativeHeight="251665408" behindDoc="0" locked="0" layoutInCell="1" allowOverlap="1" wp14:anchorId="040B0E9A" wp14:editId="06A35303">
                <wp:simplePos x="0" y="0"/>
                <wp:positionH relativeFrom="margin">
                  <wp:posOffset>391795</wp:posOffset>
                </wp:positionH>
                <wp:positionV relativeFrom="paragraph">
                  <wp:posOffset>108585</wp:posOffset>
                </wp:positionV>
                <wp:extent cx="6329045" cy="1967230"/>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967230"/>
                        </a:xfrm>
                        <a:prstGeom prst="rect">
                          <a:avLst/>
                        </a:prstGeom>
                        <a:solidFill>
                          <a:srgbClr val="FFFFFF"/>
                        </a:solidFill>
                        <a:ln w="9525">
                          <a:solidFill>
                            <a:srgbClr val="000000"/>
                          </a:solidFill>
                          <a:miter lim="800000"/>
                          <a:headEnd/>
                          <a:tailEnd/>
                        </a:ln>
                      </wps:spPr>
                      <wps:txbx>
                        <w:txbxContent>
                          <w:p w14:paraId="55765647" w14:textId="73C6658D" w:rsidR="00631CFB" w:rsidRPr="00361C61" w:rsidRDefault="00631CFB" w:rsidP="00631CFB">
                            <w:pPr>
                              <w:spacing w:after="0"/>
                              <w:rPr>
                                <w:rFonts w:ascii="Arial" w:hAnsi="Arial" w:cs="Arial"/>
                                <w:sz w:val="20"/>
                                <w:szCs w:val="20"/>
                              </w:rPr>
                            </w:pPr>
                            <w:r>
                              <w:rPr>
                                <w:rFonts w:ascii="Arial" w:hAnsi="Arial" w:cs="Arial"/>
                                <w:sz w:val="20"/>
                                <w:szCs w:val="20"/>
                              </w:rPr>
                              <w:t>Grantees must use</w:t>
                            </w:r>
                            <w:r w:rsidRPr="00361C61">
                              <w:rPr>
                                <w:rFonts w:ascii="Arial" w:hAnsi="Arial" w:cs="Arial"/>
                                <w:sz w:val="20"/>
                                <w:szCs w:val="20"/>
                              </w:rPr>
                              <w:t xml:space="preserve"> evidence-based treatments, practices, and interventions for opioid use disorder and stimulant use disorders. SAMHSA requires that </w:t>
                            </w:r>
                            <w:r>
                              <w:rPr>
                                <w:rFonts w:ascii="Arial" w:hAnsi="Arial" w:cs="Arial"/>
                                <w:sz w:val="20"/>
                                <w:szCs w:val="20"/>
                              </w:rPr>
                              <w:t xml:space="preserve">medications for opioid use disorder </w:t>
                            </w:r>
                            <w:r w:rsidRPr="00361C61">
                              <w:rPr>
                                <w:rFonts w:ascii="Arial" w:hAnsi="Arial" w:cs="Arial"/>
                                <w:sz w:val="20"/>
                                <w:szCs w:val="20"/>
                              </w:rPr>
                              <w:t xml:space="preserve">be made available to those diagnosed with </w:t>
                            </w:r>
                            <w:r>
                              <w:rPr>
                                <w:rFonts w:ascii="Arial" w:hAnsi="Arial" w:cs="Arial"/>
                                <w:sz w:val="20"/>
                                <w:szCs w:val="20"/>
                              </w:rPr>
                              <w:t>opioid use disorder</w:t>
                            </w:r>
                            <w:r w:rsidRPr="00361C61">
                              <w:rPr>
                                <w:rFonts w:ascii="Arial" w:hAnsi="Arial" w:cs="Arial"/>
                                <w:sz w:val="20"/>
                                <w:szCs w:val="20"/>
                              </w:rPr>
                              <w:t xml:space="preserve">. </w:t>
                            </w:r>
                            <w:r>
                              <w:rPr>
                                <w:rFonts w:ascii="Arial" w:hAnsi="Arial" w:cs="Arial"/>
                                <w:sz w:val="20"/>
                                <w:szCs w:val="20"/>
                              </w:rPr>
                              <w:t>Medications for opioid use disorder</w:t>
                            </w:r>
                            <w:r w:rsidRPr="00361C61">
                              <w:rPr>
                                <w:rFonts w:ascii="Arial" w:hAnsi="Arial" w:cs="Arial"/>
                                <w:sz w:val="20"/>
                                <w:szCs w:val="20"/>
                              </w:rPr>
                              <w:t xml:space="preserve"> include methadone, buprenorphine products, and injectable extended-release naltrexone. </w:t>
                            </w:r>
                            <w:r>
                              <w:rPr>
                                <w:rFonts w:ascii="Arial" w:hAnsi="Arial" w:cs="Arial"/>
                                <w:sz w:val="20"/>
                                <w:szCs w:val="20"/>
                              </w:rPr>
                              <w:t>Grantees</w:t>
                            </w:r>
                            <w:r w:rsidRPr="00361C61">
                              <w:rPr>
                                <w:rFonts w:ascii="Arial" w:hAnsi="Arial" w:cs="Arial"/>
                                <w:sz w:val="20"/>
                                <w:szCs w:val="20"/>
                              </w:rPr>
                              <w:t xml:space="preserve"> must offer a minimum of two </w:t>
                            </w:r>
                            <w:r>
                              <w:rPr>
                                <w:rFonts w:ascii="Arial" w:hAnsi="Arial" w:cs="Arial"/>
                                <w:sz w:val="20"/>
                                <w:szCs w:val="20"/>
                              </w:rPr>
                              <w:t>medications for opioid use disorder.</w:t>
                            </w:r>
                            <w:r w:rsidRPr="00361C61">
                              <w:rPr>
                                <w:rFonts w:ascii="Arial" w:hAnsi="Arial" w:cs="Arial"/>
                                <w:sz w:val="20"/>
                                <w:szCs w:val="20"/>
                              </w:rPr>
                              <w:t xml:space="preserve"> </w:t>
                            </w:r>
                            <w:r w:rsidRPr="00361C61">
                              <w:rPr>
                                <w:rFonts w:ascii="Arial" w:hAnsi="Arial" w:cs="Arial"/>
                                <w:b/>
                                <w:bCs/>
                                <w:sz w:val="20"/>
                                <w:szCs w:val="20"/>
                              </w:rPr>
                              <w:t xml:space="preserve">(Offering a referral only without funding to a provider </w:t>
                            </w:r>
                            <w:r>
                              <w:rPr>
                                <w:rFonts w:ascii="Arial" w:hAnsi="Arial" w:cs="Arial"/>
                                <w:b/>
                                <w:bCs/>
                                <w:sz w:val="20"/>
                                <w:szCs w:val="20"/>
                              </w:rPr>
                              <w:t xml:space="preserve">of medications for opioid use disorder </w:t>
                            </w:r>
                            <w:r w:rsidRPr="00361C61">
                              <w:rPr>
                                <w:rFonts w:ascii="Arial" w:hAnsi="Arial" w:cs="Arial"/>
                                <w:b/>
                                <w:bCs/>
                                <w:i/>
                                <w:iCs/>
                                <w:sz w:val="20"/>
                                <w:szCs w:val="20"/>
                              </w:rPr>
                              <w:t>does not count</w:t>
                            </w:r>
                            <w:r w:rsidRPr="00361C61">
                              <w:rPr>
                                <w:rFonts w:ascii="Arial" w:hAnsi="Arial" w:cs="Arial"/>
                                <w:b/>
                                <w:bCs/>
                                <w:sz w:val="20"/>
                                <w:szCs w:val="20"/>
                              </w:rPr>
                              <w:t xml:space="preserve"> as offering a form of </w:t>
                            </w:r>
                            <w:r>
                              <w:rPr>
                                <w:rFonts w:ascii="Arial" w:hAnsi="Arial" w:cs="Arial"/>
                                <w:b/>
                                <w:bCs/>
                                <w:sz w:val="20"/>
                                <w:szCs w:val="20"/>
                              </w:rPr>
                              <w:t>medication for opioid use disorder</w:t>
                            </w:r>
                            <w:r w:rsidRPr="00361C61">
                              <w:rPr>
                                <w:rFonts w:ascii="Arial" w:hAnsi="Arial" w:cs="Arial"/>
                                <w:b/>
                                <w:bCs/>
                                <w:sz w:val="20"/>
                                <w:szCs w:val="20"/>
                              </w:rPr>
                              <w:t xml:space="preserve">. </w:t>
                            </w:r>
                            <w:r>
                              <w:rPr>
                                <w:rFonts w:ascii="Arial" w:hAnsi="Arial" w:cs="Arial"/>
                                <w:b/>
                                <w:bCs/>
                                <w:sz w:val="20"/>
                                <w:szCs w:val="20"/>
                              </w:rPr>
                              <w:t>Grantees</w:t>
                            </w:r>
                            <w:r w:rsidRPr="00361C61">
                              <w:rPr>
                                <w:rFonts w:ascii="Arial" w:hAnsi="Arial" w:cs="Arial"/>
                                <w:b/>
                                <w:bCs/>
                                <w:sz w:val="20"/>
                                <w:szCs w:val="20"/>
                              </w:rPr>
                              <w:t xml:space="preserve"> must directly fund </w:t>
                            </w:r>
                            <w:r>
                              <w:rPr>
                                <w:rFonts w:ascii="Arial" w:hAnsi="Arial" w:cs="Arial"/>
                                <w:b/>
                                <w:bCs/>
                                <w:sz w:val="20"/>
                                <w:szCs w:val="20"/>
                              </w:rPr>
                              <w:t>medication for opioid use disorder</w:t>
                            </w:r>
                            <w:r w:rsidRPr="00361C61">
                              <w:rPr>
                                <w:rFonts w:ascii="Arial" w:hAnsi="Arial" w:cs="Arial"/>
                                <w:b/>
                                <w:bCs/>
                                <w:sz w:val="20"/>
                                <w:szCs w:val="20"/>
                              </w:rPr>
                              <w:t xml:space="preserve"> services either provided </w:t>
                            </w:r>
                            <w:r>
                              <w:rPr>
                                <w:rFonts w:ascii="Arial" w:hAnsi="Arial" w:cs="Arial"/>
                                <w:b/>
                                <w:bCs/>
                                <w:sz w:val="20"/>
                                <w:szCs w:val="20"/>
                              </w:rPr>
                              <w:t xml:space="preserve">on-site </w:t>
                            </w:r>
                            <w:r w:rsidRPr="00361C61">
                              <w:rPr>
                                <w:rFonts w:ascii="Arial" w:hAnsi="Arial" w:cs="Arial"/>
                                <w:b/>
                                <w:bCs/>
                                <w:sz w:val="20"/>
                                <w:szCs w:val="20"/>
                              </w:rPr>
                              <w:t>by agency staff or via contract with a provider</w:t>
                            </w:r>
                            <w:r>
                              <w:rPr>
                                <w:rFonts w:ascii="Arial" w:hAnsi="Arial" w:cs="Arial"/>
                                <w:b/>
                                <w:bCs/>
                                <w:sz w:val="20"/>
                                <w:szCs w:val="20"/>
                              </w:rPr>
                              <w:t xml:space="preserve"> of medications for opioid use disorder</w:t>
                            </w:r>
                            <w:r w:rsidRPr="00361C61">
                              <w:rPr>
                                <w:rFonts w:ascii="Arial" w:hAnsi="Arial" w:cs="Arial"/>
                                <w:b/>
                                <w:bCs/>
                                <w:sz w:val="20"/>
                                <w:szCs w:val="20"/>
                              </w:rPr>
                              <w:t>).</w:t>
                            </w:r>
                          </w:p>
                          <w:p w14:paraId="37D8BE55" w14:textId="77777777" w:rsidR="00631CFB" w:rsidRPr="00830B93" w:rsidRDefault="00631CFB" w:rsidP="00631CFB">
                            <w:pPr>
                              <w:spacing w:after="0"/>
                              <w:rPr>
                                <w:rFonts w:ascii="Arial" w:hAnsi="Arial" w:cs="Arial"/>
                                <w:sz w:val="20"/>
                                <w:szCs w:val="20"/>
                              </w:rPr>
                            </w:pPr>
                          </w:p>
                          <w:p w14:paraId="110A82DF" w14:textId="77777777" w:rsidR="00631CFB" w:rsidRPr="00830B93" w:rsidRDefault="00631CFB" w:rsidP="00631CFB">
                            <w:pPr>
                              <w:spacing w:after="0"/>
                              <w:rPr>
                                <w:rFonts w:ascii="Arial" w:hAnsi="Arial" w:cs="Arial"/>
                                <w:sz w:val="20"/>
                                <w:szCs w:val="20"/>
                              </w:rPr>
                            </w:pPr>
                            <w:r w:rsidRPr="00830B93">
                              <w:rPr>
                                <w:rFonts w:ascii="Arial" w:hAnsi="Arial" w:cs="Arial"/>
                                <w:sz w:val="20"/>
                                <w:szCs w:val="20"/>
                              </w:rPr>
                              <w:t xml:space="preserve">In addition to treatment services, </w:t>
                            </w:r>
                            <w:r>
                              <w:rPr>
                                <w:rFonts w:ascii="Arial" w:hAnsi="Arial" w:cs="Arial"/>
                                <w:sz w:val="20"/>
                                <w:szCs w:val="20"/>
                              </w:rPr>
                              <w:t>grantees</w:t>
                            </w:r>
                            <w:r w:rsidRPr="00830B93">
                              <w:rPr>
                                <w:rFonts w:ascii="Arial" w:hAnsi="Arial" w:cs="Arial"/>
                                <w:sz w:val="20"/>
                                <w:szCs w:val="20"/>
                              </w:rPr>
                              <w:t xml:space="preserve"> </w:t>
                            </w:r>
                            <w:r>
                              <w:rPr>
                                <w:rFonts w:ascii="Arial" w:hAnsi="Arial" w:cs="Arial"/>
                                <w:sz w:val="20"/>
                                <w:szCs w:val="20"/>
                              </w:rPr>
                              <w:t>are encouraged</w:t>
                            </w:r>
                            <w:r w:rsidRPr="00830B93">
                              <w:rPr>
                                <w:rFonts w:ascii="Arial" w:hAnsi="Arial" w:cs="Arial"/>
                                <w:sz w:val="20"/>
                                <w:szCs w:val="20"/>
                              </w:rPr>
                              <w:t xml:space="preserve"> to employ effective recovery support services and provide prevention and harm reduction services to support </w:t>
                            </w:r>
                            <w:r>
                              <w:rPr>
                                <w:rFonts w:ascii="Arial" w:hAnsi="Arial" w:cs="Arial"/>
                                <w:sz w:val="20"/>
                                <w:szCs w:val="20"/>
                              </w:rPr>
                              <w:t>a full</w:t>
                            </w:r>
                            <w:r w:rsidRPr="00830B93">
                              <w:rPr>
                                <w:rFonts w:ascii="Arial" w:hAnsi="Arial" w:cs="Arial"/>
                                <w:sz w:val="20"/>
                                <w:szCs w:val="20"/>
                              </w:rPr>
                              <w:t xml:space="preserve"> </w:t>
                            </w:r>
                            <w:r>
                              <w:rPr>
                                <w:rFonts w:ascii="Arial" w:hAnsi="Arial" w:cs="Arial"/>
                                <w:sz w:val="20"/>
                                <w:szCs w:val="20"/>
                              </w:rPr>
                              <w:t>c</w:t>
                            </w:r>
                            <w:r w:rsidRPr="00830B93">
                              <w:rPr>
                                <w:rFonts w:ascii="Arial" w:hAnsi="Arial" w:cs="Arial"/>
                                <w:sz w:val="20"/>
                                <w:szCs w:val="20"/>
                              </w:rPr>
                              <w:t>ontinuum of care.</w:t>
                            </w:r>
                          </w:p>
                          <w:p w14:paraId="3B42B1F2" w14:textId="3CD1EB77" w:rsidR="001A73F3" w:rsidRDefault="001A7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0E9A" id="_x0000_s1027" type="#_x0000_t202" style="position:absolute;left:0;text-align:left;margin-left:30.85pt;margin-top:8.55pt;width:498.35pt;height:15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">
                <v:textbox>
                  <w:txbxContent>
                    <w:p w14:paraId="55765647" w14:textId="73C6658D" w:rsidR="00631CFB" w:rsidRPr="00361C61" w:rsidRDefault="00631CFB" w:rsidP="00631CFB">
                      <w:pPr>
                        <w:spacing w:after="0"/>
                        <w:rPr>
                          <w:rFonts w:ascii="Arial" w:hAnsi="Arial" w:cs="Arial"/>
                          <w:sz w:val="20"/>
                          <w:szCs w:val="20"/>
                        </w:rPr>
                      </w:pPr>
                      <w:r>
                        <w:rPr>
                          <w:rFonts w:ascii="Arial" w:hAnsi="Arial" w:cs="Arial"/>
                          <w:sz w:val="20"/>
                          <w:szCs w:val="20"/>
                        </w:rPr>
                        <w:t>Grantees must use</w:t>
                      </w:r>
                      <w:r w:rsidRPr="00361C61">
                        <w:rPr>
                          <w:rFonts w:ascii="Arial" w:hAnsi="Arial" w:cs="Arial"/>
                          <w:sz w:val="20"/>
                          <w:szCs w:val="20"/>
                        </w:rPr>
                        <w:t xml:space="preserve"> evidence-based treatments, practices, and interventions for opioid use disorder and stimulant use disorders. SAMHSA requires that </w:t>
                      </w:r>
                      <w:r>
                        <w:rPr>
                          <w:rFonts w:ascii="Arial" w:hAnsi="Arial" w:cs="Arial"/>
                          <w:sz w:val="20"/>
                          <w:szCs w:val="20"/>
                        </w:rPr>
                        <w:t xml:space="preserve">medications for opioid use disorder </w:t>
                      </w:r>
                      <w:r w:rsidRPr="00361C61">
                        <w:rPr>
                          <w:rFonts w:ascii="Arial" w:hAnsi="Arial" w:cs="Arial"/>
                          <w:sz w:val="20"/>
                          <w:szCs w:val="20"/>
                        </w:rPr>
                        <w:t xml:space="preserve">be made available to those diagnosed with </w:t>
                      </w:r>
                      <w:r>
                        <w:rPr>
                          <w:rFonts w:ascii="Arial" w:hAnsi="Arial" w:cs="Arial"/>
                          <w:sz w:val="20"/>
                          <w:szCs w:val="20"/>
                        </w:rPr>
                        <w:t>opioid use disorder</w:t>
                      </w:r>
                      <w:r w:rsidRPr="00361C61">
                        <w:rPr>
                          <w:rFonts w:ascii="Arial" w:hAnsi="Arial" w:cs="Arial"/>
                          <w:sz w:val="20"/>
                          <w:szCs w:val="20"/>
                        </w:rPr>
                        <w:t xml:space="preserve">. </w:t>
                      </w:r>
                      <w:r>
                        <w:rPr>
                          <w:rFonts w:ascii="Arial" w:hAnsi="Arial" w:cs="Arial"/>
                          <w:sz w:val="20"/>
                          <w:szCs w:val="20"/>
                        </w:rPr>
                        <w:t>Medications for opioid use disorder</w:t>
                      </w:r>
                      <w:r w:rsidRPr="00361C61">
                        <w:rPr>
                          <w:rFonts w:ascii="Arial" w:hAnsi="Arial" w:cs="Arial"/>
                          <w:sz w:val="20"/>
                          <w:szCs w:val="20"/>
                        </w:rPr>
                        <w:t xml:space="preserve"> include methadone, buprenorphine products, and injectable extended-release naltrexone. </w:t>
                      </w:r>
                      <w:r>
                        <w:rPr>
                          <w:rFonts w:ascii="Arial" w:hAnsi="Arial" w:cs="Arial"/>
                          <w:sz w:val="20"/>
                          <w:szCs w:val="20"/>
                        </w:rPr>
                        <w:t>Grantees</w:t>
                      </w:r>
                      <w:r w:rsidRPr="00361C61">
                        <w:rPr>
                          <w:rFonts w:ascii="Arial" w:hAnsi="Arial" w:cs="Arial"/>
                          <w:sz w:val="20"/>
                          <w:szCs w:val="20"/>
                        </w:rPr>
                        <w:t xml:space="preserve"> must offer a minimum of two </w:t>
                      </w:r>
                      <w:r>
                        <w:rPr>
                          <w:rFonts w:ascii="Arial" w:hAnsi="Arial" w:cs="Arial"/>
                          <w:sz w:val="20"/>
                          <w:szCs w:val="20"/>
                        </w:rPr>
                        <w:t>medications for opioid use disorder.</w:t>
                      </w:r>
                      <w:r w:rsidRPr="00361C61">
                        <w:rPr>
                          <w:rFonts w:ascii="Arial" w:hAnsi="Arial" w:cs="Arial"/>
                          <w:sz w:val="20"/>
                          <w:szCs w:val="20"/>
                        </w:rPr>
                        <w:t xml:space="preserve"> </w:t>
                      </w:r>
                      <w:r w:rsidRPr="00361C61">
                        <w:rPr>
                          <w:rFonts w:ascii="Arial" w:hAnsi="Arial" w:cs="Arial"/>
                          <w:b/>
                          <w:bCs/>
                          <w:sz w:val="20"/>
                          <w:szCs w:val="20"/>
                        </w:rPr>
                        <w:t xml:space="preserve">(Offering a referral only without funding to a provider </w:t>
                      </w:r>
                      <w:r>
                        <w:rPr>
                          <w:rFonts w:ascii="Arial" w:hAnsi="Arial" w:cs="Arial"/>
                          <w:b/>
                          <w:bCs/>
                          <w:sz w:val="20"/>
                          <w:szCs w:val="20"/>
                        </w:rPr>
                        <w:t xml:space="preserve">of medications for opioid use disorder </w:t>
                      </w:r>
                      <w:r w:rsidRPr="00361C61">
                        <w:rPr>
                          <w:rFonts w:ascii="Arial" w:hAnsi="Arial" w:cs="Arial"/>
                          <w:b/>
                          <w:bCs/>
                          <w:i/>
                          <w:iCs/>
                          <w:sz w:val="20"/>
                          <w:szCs w:val="20"/>
                        </w:rPr>
                        <w:t>does not count</w:t>
                      </w:r>
                      <w:r w:rsidRPr="00361C61">
                        <w:rPr>
                          <w:rFonts w:ascii="Arial" w:hAnsi="Arial" w:cs="Arial"/>
                          <w:b/>
                          <w:bCs/>
                          <w:sz w:val="20"/>
                          <w:szCs w:val="20"/>
                        </w:rPr>
                        <w:t xml:space="preserve"> as offering a form of </w:t>
                      </w:r>
                      <w:r>
                        <w:rPr>
                          <w:rFonts w:ascii="Arial" w:hAnsi="Arial" w:cs="Arial"/>
                          <w:b/>
                          <w:bCs/>
                          <w:sz w:val="20"/>
                          <w:szCs w:val="20"/>
                        </w:rPr>
                        <w:t>medication for opioid use disorder</w:t>
                      </w:r>
                      <w:r w:rsidRPr="00361C61">
                        <w:rPr>
                          <w:rFonts w:ascii="Arial" w:hAnsi="Arial" w:cs="Arial"/>
                          <w:b/>
                          <w:bCs/>
                          <w:sz w:val="20"/>
                          <w:szCs w:val="20"/>
                        </w:rPr>
                        <w:t xml:space="preserve">. </w:t>
                      </w:r>
                      <w:r>
                        <w:rPr>
                          <w:rFonts w:ascii="Arial" w:hAnsi="Arial" w:cs="Arial"/>
                          <w:b/>
                          <w:bCs/>
                          <w:sz w:val="20"/>
                          <w:szCs w:val="20"/>
                        </w:rPr>
                        <w:t>Grantees</w:t>
                      </w:r>
                      <w:r w:rsidRPr="00361C61">
                        <w:rPr>
                          <w:rFonts w:ascii="Arial" w:hAnsi="Arial" w:cs="Arial"/>
                          <w:b/>
                          <w:bCs/>
                          <w:sz w:val="20"/>
                          <w:szCs w:val="20"/>
                        </w:rPr>
                        <w:t xml:space="preserve"> must directly fund </w:t>
                      </w:r>
                      <w:r>
                        <w:rPr>
                          <w:rFonts w:ascii="Arial" w:hAnsi="Arial" w:cs="Arial"/>
                          <w:b/>
                          <w:bCs/>
                          <w:sz w:val="20"/>
                          <w:szCs w:val="20"/>
                        </w:rPr>
                        <w:t>medication for opioid use disorder</w:t>
                      </w:r>
                      <w:r w:rsidRPr="00361C61">
                        <w:rPr>
                          <w:rFonts w:ascii="Arial" w:hAnsi="Arial" w:cs="Arial"/>
                          <w:b/>
                          <w:bCs/>
                          <w:sz w:val="20"/>
                          <w:szCs w:val="20"/>
                        </w:rPr>
                        <w:t xml:space="preserve"> services either provided </w:t>
                      </w:r>
                      <w:r>
                        <w:rPr>
                          <w:rFonts w:ascii="Arial" w:hAnsi="Arial" w:cs="Arial"/>
                          <w:b/>
                          <w:bCs/>
                          <w:sz w:val="20"/>
                          <w:szCs w:val="20"/>
                        </w:rPr>
                        <w:t xml:space="preserve">on-site </w:t>
                      </w:r>
                      <w:r w:rsidRPr="00361C61">
                        <w:rPr>
                          <w:rFonts w:ascii="Arial" w:hAnsi="Arial" w:cs="Arial"/>
                          <w:b/>
                          <w:bCs/>
                          <w:sz w:val="20"/>
                          <w:szCs w:val="20"/>
                        </w:rPr>
                        <w:t>by agency staff or via contract with a provider</w:t>
                      </w:r>
                      <w:r>
                        <w:rPr>
                          <w:rFonts w:ascii="Arial" w:hAnsi="Arial" w:cs="Arial"/>
                          <w:b/>
                          <w:bCs/>
                          <w:sz w:val="20"/>
                          <w:szCs w:val="20"/>
                        </w:rPr>
                        <w:t xml:space="preserve"> of medications for opioid use disorder</w:t>
                      </w:r>
                      <w:r w:rsidRPr="00361C61">
                        <w:rPr>
                          <w:rFonts w:ascii="Arial" w:hAnsi="Arial" w:cs="Arial"/>
                          <w:b/>
                          <w:bCs/>
                          <w:sz w:val="20"/>
                          <w:szCs w:val="20"/>
                        </w:rPr>
                        <w:t>).</w:t>
                      </w:r>
                    </w:p>
                    <w:p w14:paraId="37D8BE55" w14:textId="77777777" w:rsidR="00631CFB" w:rsidRPr="00830B93" w:rsidRDefault="00631CFB" w:rsidP="00631CFB">
                      <w:pPr>
                        <w:spacing w:after="0"/>
                        <w:rPr>
                          <w:rFonts w:ascii="Arial" w:hAnsi="Arial" w:cs="Arial"/>
                          <w:sz w:val="20"/>
                          <w:szCs w:val="20"/>
                        </w:rPr>
                      </w:pPr>
                    </w:p>
                    <w:p w14:paraId="110A82DF" w14:textId="77777777" w:rsidR="00631CFB" w:rsidRPr="00830B93" w:rsidRDefault="00631CFB" w:rsidP="00631CFB">
                      <w:pPr>
                        <w:spacing w:after="0"/>
                        <w:rPr>
                          <w:rFonts w:ascii="Arial" w:hAnsi="Arial" w:cs="Arial"/>
                          <w:sz w:val="20"/>
                          <w:szCs w:val="20"/>
                        </w:rPr>
                      </w:pPr>
                      <w:r w:rsidRPr="00830B93">
                        <w:rPr>
                          <w:rFonts w:ascii="Arial" w:hAnsi="Arial" w:cs="Arial"/>
                          <w:sz w:val="20"/>
                          <w:szCs w:val="20"/>
                        </w:rPr>
                        <w:t xml:space="preserve">In addition to treatment services, </w:t>
                      </w:r>
                      <w:r>
                        <w:rPr>
                          <w:rFonts w:ascii="Arial" w:hAnsi="Arial" w:cs="Arial"/>
                          <w:sz w:val="20"/>
                          <w:szCs w:val="20"/>
                        </w:rPr>
                        <w:t>grantees</w:t>
                      </w:r>
                      <w:r w:rsidRPr="00830B93">
                        <w:rPr>
                          <w:rFonts w:ascii="Arial" w:hAnsi="Arial" w:cs="Arial"/>
                          <w:sz w:val="20"/>
                          <w:szCs w:val="20"/>
                        </w:rPr>
                        <w:t xml:space="preserve"> </w:t>
                      </w:r>
                      <w:r>
                        <w:rPr>
                          <w:rFonts w:ascii="Arial" w:hAnsi="Arial" w:cs="Arial"/>
                          <w:sz w:val="20"/>
                          <w:szCs w:val="20"/>
                        </w:rPr>
                        <w:t>are encouraged</w:t>
                      </w:r>
                      <w:r w:rsidRPr="00830B93">
                        <w:rPr>
                          <w:rFonts w:ascii="Arial" w:hAnsi="Arial" w:cs="Arial"/>
                          <w:sz w:val="20"/>
                          <w:szCs w:val="20"/>
                        </w:rPr>
                        <w:t xml:space="preserve"> to employ effective recovery support services and provide prevention and harm reduction services to support </w:t>
                      </w:r>
                      <w:r>
                        <w:rPr>
                          <w:rFonts w:ascii="Arial" w:hAnsi="Arial" w:cs="Arial"/>
                          <w:sz w:val="20"/>
                          <w:szCs w:val="20"/>
                        </w:rPr>
                        <w:t>a full</w:t>
                      </w:r>
                      <w:r w:rsidRPr="00830B93">
                        <w:rPr>
                          <w:rFonts w:ascii="Arial" w:hAnsi="Arial" w:cs="Arial"/>
                          <w:sz w:val="20"/>
                          <w:szCs w:val="20"/>
                        </w:rPr>
                        <w:t xml:space="preserve"> </w:t>
                      </w:r>
                      <w:r>
                        <w:rPr>
                          <w:rFonts w:ascii="Arial" w:hAnsi="Arial" w:cs="Arial"/>
                          <w:sz w:val="20"/>
                          <w:szCs w:val="20"/>
                        </w:rPr>
                        <w:t>c</w:t>
                      </w:r>
                      <w:r w:rsidRPr="00830B93">
                        <w:rPr>
                          <w:rFonts w:ascii="Arial" w:hAnsi="Arial" w:cs="Arial"/>
                          <w:sz w:val="20"/>
                          <w:szCs w:val="20"/>
                        </w:rPr>
                        <w:t>ontinuum of care.</w:t>
                      </w:r>
                    </w:p>
                    <w:p w14:paraId="3B42B1F2" w14:textId="3CD1EB77" w:rsidR="001A73F3" w:rsidRDefault="001A73F3"/>
                  </w:txbxContent>
                </v:textbox>
                <w10:wrap type="square" anchorx="margin"/>
              </v:shape>
            </w:pict>
          </mc:Fallback>
        </mc:AlternateContent>
      </w:r>
      <w:r w:rsidR="002C7B43" w:rsidRPr="00361C61">
        <w:rPr>
          <w:rFonts w:ascii="Arial" w:hAnsi="Arial" w:cs="Arial"/>
          <w:sz w:val="20"/>
          <w:szCs w:val="20"/>
        </w:rPr>
        <w:t xml:space="preserve"> </w:t>
      </w:r>
      <w:r>
        <w:rPr>
          <w:rFonts w:ascii="Arial" w:hAnsi="Arial" w:cs="Arial"/>
          <w:sz w:val="20"/>
          <w:szCs w:val="20"/>
        </w:rPr>
        <w:t xml:space="preserve">    </w:t>
      </w:r>
    </w:p>
    <w:p w14:paraId="0482BB28" w14:textId="77777777" w:rsidR="00361C61" w:rsidRDefault="00361C61" w:rsidP="00361C61">
      <w:pPr>
        <w:pStyle w:val="ListParagraph"/>
        <w:spacing w:after="0"/>
        <w:ind w:left="360"/>
        <w:rPr>
          <w:rFonts w:ascii="Arial" w:hAnsi="Arial" w:cs="Arial"/>
          <w:sz w:val="20"/>
          <w:szCs w:val="20"/>
        </w:rPr>
      </w:pPr>
    </w:p>
    <w:p w14:paraId="4CD7A5CD" w14:textId="77777777" w:rsidR="00361C61" w:rsidRDefault="00361C61" w:rsidP="00361C61">
      <w:pPr>
        <w:pStyle w:val="ListParagraph"/>
        <w:spacing w:after="0"/>
        <w:ind w:left="360"/>
        <w:rPr>
          <w:rFonts w:ascii="Arial" w:hAnsi="Arial" w:cs="Arial"/>
          <w:sz w:val="20"/>
          <w:szCs w:val="20"/>
        </w:rPr>
      </w:pPr>
    </w:p>
    <w:p w14:paraId="17024281" w14:textId="77777777" w:rsidR="00361C61" w:rsidRDefault="00361C61" w:rsidP="00361C61">
      <w:pPr>
        <w:pStyle w:val="ListParagraph"/>
        <w:spacing w:after="0"/>
        <w:ind w:left="360"/>
        <w:rPr>
          <w:rFonts w:ascii="Arial" w:hAnsi="Arial" w:cs="Arial"/>
          <w:sz w:val="20"/>
          <w:szCs w:val="20"/>
        </w:rPr>
      </w:pPr>
    </w:p>
    <w:p w14:paraId="276B5EAF" w14:textId="77777777" w:rsidR="00631CFB" w:rsidRPr="00361C61" w:rsidRDefault="00631CFB" w:rsidP="005974B9">
      <w:pPr>
        <w:pStyle w:val="ListParagraph"/>
        <w:spacing w:after="0"/>
        <w:ind w:left="720"/>
        <w:rPr>
          <w:rFonts w:ascii="Arial" w:hAnsi="Arial" w:cs="Arial"/>
          <w:sz w:val="20"/>
          <w:szCs w:val="20"/>
        </w:rPr>
      </w:pPr>
      <w:r w:rsidRPr="00361C61">
        <w:rPr>
          <w:rFonts w:ascii="Arial" w:hAnsi="Arial" w:cs="Arial"/>
          <w:sz w:val="20"/>
          <w:szCs w:val="20"/>
        </w:rPr>
        <w:t xml:space="preserve">Describe how service delivery models that meet the above requirements regarding </w:t>
      </w:r>
      <w:r>
        <w:rPr>
          <w:rFonts w:ascii="Arial" w:hAnsi="Arial" w:cs="Arial"/>
          <w:sz w:val="20"/>
          <w:szCs w:val="20"/>
        </w:rPr>
        <w:t>medications for opioid use disorder</w:t>
      </w:r>
      <w:r w:rsidRPr="00361C61">
        <w:rPr>
          <w:rFonts w:ascii="Arial" w:hAnsi="Arial" w:cs="Arial"/>
          <w:sz w:val="20"/>
          <w:szCs w:val="20"/>
        </w:rPr>
        <w:t xml:space="preserve"> will be implemented. If applicable, d</w:t>
      </w:r>
      <w:r w:rsidRPr="00361C61">
        <w:rPr>
          <w:rFonts w:ascii="Arial" w:hAnsi="Arial" w:cs="Arial"/>
          <w:bCs/>
          <w:sz w:val="20"/>
          <w:szCs w:val="20"/>
        </w:rPr>
        <w:t xml:space="preserve">escribe the current efforts or the planned </w:t>
      </w:r>
      <w:r>
        <w:rPr>
          <w:rFonts w:ascii="Arial" w:hAnsi="Arial" w:cs="Arial"/>
          <w:bCs/>
          <w:sz w:val="20"/>
          <w:szCs w:val="20"/>
        </w:rPr>
        <w:t xml:space="preserve">efforts </w:t>
      </w:r>
      <w:r w:rsidRPr="00361C61">
        <w:rPr>
          <w:rFonts w:ascii="Arial" w:hAnsi="Arial" w:cs="Arial"/>
          <w:bCs/>
          <w:sz w:val="20"/>
          <w:szCs w:val="20"/>
        </w:rPr>
        <w:t xml:space="preserve">during the project period to expand access to </w:t>
      </w:r>
      <w:r>
        <w:rPr>
          <w:rFonts w:ascii="Arial" w:hAnsi="Arial" w:cs="Arial"/>
          <w:bCs/>
          <w:sz w:val="20"/>
          <w:szCs w:val="20"/>
        </w:rPr>
        <w:t>medications for opioid use disorder by using</w:t>
      </w:r>
      <w:r w:rsidRPr="00361C61">
        <w:rPr>
          <w:rFonts w:ascii="Arial" w:hAnsi="Arial" w:cs="Arial"/>
          <w:bCs/>
          <w:sz w:val="20"/>
          <w:szCs w:val="20"/>
        </w:rPr>
        <w:t xml:space="preserve"> any of the following:</w:t>
      </w:r>
    </w:p>
    <w:p w14:paraId="5D1C1C6A" w14:textId="77777777" w:rsidR="00631CFB" w:rsidRPr="00830B93" w:rsidRDefault="00631CFB" w:rsidP="005974B9">
      <w:pPr>
        <w:pStyle w:val="ListParagraph"/>
        <w:numPr>
          <w:ilvl w:val="1"/>
          <w:numId w:val="11"/>
        </w:numPr>
        <w:spacing w:after="0"/>
        <w:rPr>
          <w:rFonts w:ascii="Arial" w:hAnsi="Arial" w:cs="Arial"/>
          <w:sz w:val="20"/>
          <w:szCs w:val="20"/>
        </w:rPr>
      </w:pPr>
      <w:r w:rsidRPr="00830B93">
        <w:rPr>
          <w:rFonts w:ascii="Arial" w:hAnsi="Arial" w:cs="Arial"/>
          <w:bCs/>
          <w:sz w:val="20"/>
          <w:szCs w:val="20"/>
        </w:rPr>
        <w:t xml:space="preserve">Providing a third form of </w:t>
      </w:r>
      <w:r>
        <w:rPr>
          <w:rFonts w:ascii="Arial" w:hAnsi="Arial" w:cs="Arial"/>
          <w:bCs/>
          <w:sz w:val="20"/>
          <w:szCs w:val="20"/>
        </w:rPr>
        <w:t xml:space="preserve">medications for opioid use disorder </w:t>
      </w:r>
    </w:p>
    <w:p w14:paraId="1A7AFB3B" w14:textId="77777777" w:rsidR="00631CFB" w:rsidRPr="00830B93" w:rsidRDefault="00631CFB" w:rsidP="005974B9">
      <w:pPr>
        <w:pStyle w:val="ListParagraph"/>
        <w:numPr>
          <w:ilvl w:val="1"/>
          <w:numId w:val="11"/>
        </w:numPr>
        <w:spacing w:after="0"/>
        <w:rPr>
          <w:rFonts w:ascii="Arial" w:hAnsi="Arial" w:cs="Arial"/>
          <w:sz w:val="20"/>
          <w:szCs w:val="20"/>
        </w:rPr>
      </w:pPr>
      <w:r w:rsidRPr="00830B93">
        <w:rPr>
          <w:rFonts w:ascii="Arial" w:hAnsi="Arial" w:cs="Arial"/>
          <w:bCs/>
          <w:sz w:val="20"/>
          <w:szCs w:val="20"/>
        </w:rPr>
        <w:t>Pursuing additional partnerships with prescribers</w:t>
      </w:r>
      <w:r>
        <w:rPr>
          <w:rFonts w:ascii="Arial" w:hAnsi="Arial" w:cs="Arial"/>
          <w:bCs/>
          <w:sz w:val="20"/>
          <w:szCs w:val="20"/>
        </w:rPr>
        <w:t xml:space="preserve"> of medications for opioid use disorder</w:t>
      </w:r>
    </w:p>
    <w:p w14:paraId="7B04CF69" w14:textId="77777777" w:rsidR="00631CFB" w:rsidRPr="00830B93" w:rsidRDefault="00631CFB" w:rsidP="00631CFB">
      <w:pPr>
        <w:pStyle w:val="ListParagraph"/>
        <w:numPr>
          <w:ilvl w:val="1"/>
          <w:numId w:val="11"/>
        </w:numPr>
        <w:spacing w:after="0"/>
        <w:rPr>
          <w:rFonts w:ascii="Arial" w:hAnsi="Arial" w:cs="Arial"/>
          <w:sz w:val="20"/>
          <w:szCs w:val="20"/>
        </w:rPr>
      </w:pPr>
      <w:r w:rsidRPr="00830B93">
        <w:rPr>
          <w:rFonts w:ascii="Arial" w:hAnsi="Arial" w:cs="Arial"/>
          <w:bCs/>
          <w:sz w:val="20"/>
          <w:szCs w:val="20"/>
        </w:rPr>
        <w:t>Increas</w:t>
      </w:r>
      <w:r>
        <w:rPr>
          <w:rFonts w:ascii="Arial" w:hAnsi="Arial" w:cs="Arial"/>
          <w:bCs/>
          <w:sz w:val="20"/>
          <w:szCs w:val="20"/>
        </w:rPr>
        <w:t>ing</w:t>
      </w:r>
      <w:r w:rsidRPr="00830B93">
        <w:rPr>
          <w:rFonts w:ascii="Arial" w:hAnsi="Arial" w:cs="Arial"/>
          <w:bCs/>
          <w:sz w:val="20"/>
          <w:szCs w:val="20"/>
        </w:rPr>
        <w:t xml:space="preserve"> collaboration with provider organizations, etc.</w:t>
      </w:r>
    </w:p>
    <w:tbl>
      <w:tblPr>
        <w:tblStyle w:val="TableGrid"/>
        <w:tblW w:w="10530" w:type="dxa"/>
        <w:tblInd w:w="355" w:type="dxa"/>
        <w:tblLook w:val="04A0" w:firstRow="1" w:lastRow="0" w:firstColumn="1" w:lastColumn="0" w:noHBand="0" w:noVBand="1"/>
      </w:tblPr>
      <w:tblGrid>
        <w:gridCol w:w="10530"/>
      </w:tblGrid>
      <w:tr w:rsidR="000F6839" w:rsidRPr="00830B93" w14:paraId="29160CAD" w14:textId="77777777" w:rsidTr="00B556B2">
        <w:tc>
          <w:tcPr>
            <w:tcW w:w="10530" w:type="dxa"/>
          </w:tcPr>
          <w:p w14:paraId="2561841D" w14:textId="77777777" w:rsidR="00F11875" w:rsidRPr="005A7E2D" w:rsidRDefault="00486D13" w:rsidP="00746D7E">
            <w:pPr>
              <w:spacing w:after="0"/>
              <w:rPr>
                <w:rFonts w:ascii="Times New Roman" w:hAnsi="Times New Roman" w:cs="Times New Roman"/>
                <w:sz w:val="20"/>
              </w:rPr>
            </w:pPr>
            <w:r w:rsidRPr="005A7E2D">
              <w:rPr>
                <w:rFonts w:ascii="Times New Roman" w:hAnsi="Times New Roman" w:cs="Times New Roman"/>
              </w:rPr>
              <w:fldChar w:fldCharType="begin">
                <w:ffData>
                  <w:name w:val="Text10"/>
                  <w:enabled/>
                  <w:calcOnExit w:val="0"/>
                  <w:textInput/>
                </w:ffData>
              </w:fldChar>
            </w:r>
            <w:bookmarkStart w:id="9" w:name="Text10"/>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00746D7E">
              <w:rPr>
                <w:rFonts w:ascii="Times New Roman" w:hAnsi="Times New Roman" w:cs="Times New Roman"/>
              </w:rPr>
              <w:t> </w:t>
            </w:r>
            <w:r w:rsidR="00746D7E">
              <w:rPr>
                <w:rFonts w:ascii="Times New Roman" w:hAnsi="Times New Roman" w:cs="Times New Roman"/>
              </w:rPr>
              <w:t> </w:t>
            </w:r>
            <w:r w:rsidR="00746D7E">
              <w:rPr>
                <w:rFonts w:ascii="Times New Roman" w:hAnsi="Times New Roman" w:cs="Times New Roman"/>
              </w:rPr>
              <w:t> </w:t>
            </w:r>
            <w:r w:rsidR="00746D7E">
              <w:rPr>
                <w:rFonts w:ascii="Times New Roman" w:hAnsi="Times New Roman" w:cs="Times New Roman"/>
              </w:rPr>
              <w:t> </w:t>
            </w:r>
            <w:r w:rsidR="00746D7E">
              <w:rPr>
                <w:rFonts w:ascii="Times New Roman" w:hAnsi="Times New Roman" w:cs="Times New Roman"/>
              </w:rPr>
              <w:t> </w:t>
            </w:r>
            <w:r w:rsidRPr="005A7E2D">
              <w:rPr>
                <w:rFonts w:ascii="Times New Roman" w:hAnsi="Times New Roman" w:cs="Times New Roman"/>
              </w:rPr>
              <w:fldChar w:fldCharType="end"/>
            </w:r>
            <w:bookmarkEnd w:id="9"/>
          </w:p>
        </w:tc>
      </w:tr>
    </w:tbl>
    <w:p w14:paraId="4DF10EE8" w14:textId="4A65BED1" w:rsidR="000F6839" w:rsidRPr="00830B93" w:rsidRDefault="000F6839" w:rsidP="000F6839">
      <w:pPr>
        <w:spacing w:after="0"/>
        <w:rPr>
          <w:rFonts w:ascii="Arial" w:hAnsi="Arial" w:cs="Arial"/>
          <w:sz w:val="20"/>
          <w:szCs w:val="20"/>
        </w:rPr>
      </w:pPr>
    </w:p>
    <w:p w14:paraId="03C543B1" w14:textId="2EB06F60" w:rsidR="00160503" w:rsidRPr="00361C61" w:rsidRDefault="00631CFB" w:rsidP="00361C61">
      <w:pPr>
        <w:pStyle w:val="ListParagraph"/>
        <w:numPr>
          <w:ilvl w:val="0"/>
          <w:numId w:val="11"/>
        </w:numPr>
        <w:spacing w:after="0"/>
        <w:rPr>
          <w:rFonts w:ascii="Arial" w:hAnsi="Arial" w:cs="Arial"/>
          <w:sz w:val="20"/>
          <w:szCs w:val="20"/>
        </w:rPr>
      </w:pPr>
      <w:r w:rsidRPr="00160503">
        <w:rPr>
          <w:noProof/>
        </w:rPr>
        <mc:AlternateContent>
          <mc:Choice Requires="wps">
            <w:drawing>
              <wp:anchor distT="45720" distB="45720" distL="114300" distR="114300" simplePos="0" relativeHeight="251661312" behindDoc="0" locked="0" layoutInCell="1" allowOverlap="1" wp14:anchorId="0A383B7F" wp14:editId="0028238F">
                <wp:simplePos x="0" y="0"/>
                <wp:positionH relativeFrom="column">
                  <wp:posOffset>390525</wp:posOffset>
                </wp:positionH>
                <wp:positionV relativeFrom="paragraph">
                  <wp:posOffset>29845</wp:posOffset>
                </wp:positionV>
                <wp:extent cx="6414135" cy="1606550"/>
                <wp:effectExtent l="0" t="0" r="247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606550"/>
                        </a:xfrm>
                        <a:prstGeom prst="rect">
                          <a:avLst/>
                        </a:prstGeom>
                        <a:solidFill>
                          <a:srgbClr val="FFFFFF"/>
                        </a:solidFill>
                        <a:ln w="9525">
                          <a:solidFill>
                            <a:srgbClr val="000000"/>
                          </a:solidFill>
                          <a:miter lim="800000"/>
                          <a:headEnd/>
                          <a:tailEnd/>
                        </a:ln>
                      </wps:spPr>
                      <wps:txbx>
                        <w:txbxContent>
                          <w:p w14:paraId="39809408" w14:textId="1D32CF6E" w:rsidR="00631CFB" w:rsidRPr="00631CFB" w:rsidRDefault="00631CFB" w:rsidP="00631CFB">
                            <w:r w:rsidRPr="00631CFB">
                              <w:rPr>
                                <w:rFonts w:ascii="Arial" w:hAnsi="Arial" w:cs="Arial"/>
                                <w:sz w:val="20"/>
                                <w:szCs w:val="20"/>
                              </w:rPr>
                              <w:t>To mitigate the risk of fraud and abuse, while also promoting evidence-based practices, grantees who plan to implement contingency management interventions as part of this grant award will be required to implement contingency management to fidelity. To ensure fidelity to evidence-based practices, staff who will implement, administer, and supervise contingency management interventions are required to undergo contingency management training prior to implementing contingency management. This training will be provided at no cost to grantees through the Promoting Best Practices in Substance Use Disorder Treatment Training Program. Grantees interested in implementing contingency management to fidelity should include incentives in their budget. Individuals may not receive incentives totaling more than $75 per budget period. The contingency amounts are subject to change.</w:t>
                            </w:r>
                          </w:p>
                          <w:p w14:paraId="2B862797" w14:textId="76E7E672" w:rsidR="00160503" w:rsidRDefault="0016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3B7F" id="_x0000_s1028" type="#_x0000_t202" style="position:absolute;left:0;text-align:left;margin-left:30.75pt;margin-top:2.35pt;width:505.05pt;height:1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">
                <v:textbox>
                  <w:txbxContent>
                    <w:p w14:paraId="39809408" w14:textId="1D32CF6E" w:rsidR="00631CFB" w:rsidRPr="00631CFB" w:rsidRDefault="00631CFB" w:rsidP="00631CFB">
                      <w:r w:rsidRPr="00631CFB">
                        <w:rPr>
                          <w:rFonts w:ascii="Arial" w:hAnsi="Arial" w:cs="Arial"/>
                          <w:sz w:val="20"/>
                          <w:szCs w:val="20"/>
                        </w:rPr>
                        <w:t>To mitigate the risk of fraud and abuse, while also promoting evidence-based practices, grantees who plan to implement contingency management interventions as part of this grant award will be required to implement contingency management to fidelity. To ensure fidelity to evidence-based practices, staff who will implement, administer, and supervise contingency management interventions are required to undergo contingency management training prior to implementing contingency management. This training will be provided at no cost to grantees through the Promoting Best Practices in Substance Use Disorder Treatment Training Program. Grantees interested in implementing contingency management to fidelity should include incentives in their budget. Individuals may not receive incentives totaling more than $75 per budget period. The contingency amounts are subject to change.</w:t>
                      </w:r>
                    </w:p>
                    <w:p w14:paraId="2B862797" w14:textId="76E7E672" w:rsidR="00160503" w:rsidRDefault="00160503"/>
                  </w:txbxContent>
                </v:textbox>
                <w10:wrap type="square"/>
              </v:shape>
            </w:pict>
          </mc:Fallback>
        </mc:AlternateContent>
      </w:r>
    </w:p>
    <w:p w14:paraId="35A1D9F4" w14:textId="2AF907E4" w:rsidR="00160503" w:rsidRPr="00361C61" w:rsidRDefault="00160503" w:rsidP="00361C61">
      <w:pPr>
        <w:pStyle w:val="ListParagraph"/>
        <w:spacing w:after="0"/>
        <w:ind w:left="360"/>
        <w:rPr>
          <w:rFonts w:ascii="Arial" w:hAnsi="Arial" w:cs="Arial"/>
          <w:sz w:val="20"/>
          <w:szCs w:val="20"/>
        </w:rPr>
      </w:pPr>
    </w:p>
    <w:p w14:paraId="114A78C1" w14:textId="77777777" w:rsidR="00361C61" w:rsidRDefault="00361C61" w:rsidP="00160503">
      <w:pPr>
        <w:spacing w:after="0"/>
        <w:ind w:left="360"/>
        <w:rPr>
          <w:rFonts w:ascii="Arial" w:hAnsi="Arial" w:cs="Arial"/>
          <w:sz w:val="20"/>
          <w:szCs w:val="20"/>
        </w:rPr>
      </w:pPr>
    </w:p>
    <w:p w14:paraId="5CE88103" w14:textId="5EBFF968" w:rsidR="00160503" w:rsidRDefault="00160503" w:rsidP="00160503">
      <w:pPr>
        <w:spacing w:after="0"/>
        <w:ind w:left="360"/>
        <w:rPr>
          <w:rFonts w:ascii="Arial" w:hAnsi="Arial" w:cs="Arial"/>
          <w:sz w:val="20"/>
          <w:szCs w:val="20"/>
        </w:rPr>
      </w:pPr>
    </w:p>
    <w:p w14:paraId="7B974725" w14:textId="6C23DE0C" w:rsidR="00160503" w:rsidRDefault="00160503" w:rsidP="00160503">
      <w:pPr>
        <w:spacing w:after="0"/>
        <w:ind w:left="360"/>
        <w:rPr>
          <w:rFonts w:ascii="Arial" w:hAnsi="Arial" w:cs="Arial"/>
          <w:sz w:val="20"/>
          <w:szCs w:val="20"/>
        </w:rPr>
      </w:pPr>
    </w:p>
    <w:p w14:paraId="52C06559" w14:textId="77777777" w:rsidR="00160503" w:rsidRDefault="00160503" w:rsidP="00160503">
      <w:pPr>
        <w:spacing w:after="0"/>
        <w:ind w:left="360"/>
        <w:rPr>
          <w:rFonts w:ascii="Arial" w:hAnsi="Arial" w:cs="Arial"/>
          <w:sz w:val="20"/>
          <w:szCs w:val="20"/>
        </w:rPr>
      </w:pPr>
    </w:p>
    <w:p w14:paraId="4F6CCE25" w14:textId="2BD87400" w:rsidR="002C7B43" w:rsidRPr="00830B93" w:rsidRDefault="002C7B43" w:rsidP="000F6839">
      <w:pPr>
        <w:spacing w:after="0"/>
        <w:rPr>
          <w:rFonts w:ascii="Arial" w:hAnsi="Arial" w:cs="Arial"/>
          <w:sz w:val="20"/>
          <w:szCs w:val="20"/>
        </w:rPr>
      </w:pPr>
    </w:p>
    <w:p w14:paraId="378F5243" w14:textId="77777777" w:rsidR="00631CFB" w:rsidRPr="00402E62" w:rsidRDefault="00631CFB" w:rsidP="00631CFB">
      <w:pPr>
        <w:spacing w:after="0"/>
        <w:ind w:left="720"/>
        <w:rPr>
          <w:rFonts w:ascii="Arial" w:hAnsi="Arial" w:cs="Arial"/>
          <w:sz w:val="20"/>
          <w:szCs w:val="20"/>
        </w:rPr>
      </w:pPr>
      <w:r>
        <w:rPr>
          <w:rFonts w:ascii="Arial" w:hAnsi="Arial" w:cs="Arial"/>
          <w:sz w:val="20"/>
          <w:szCs w:val="20"/>
        </w:rPr>
        <w:t>If applicable, d</w:t>
      </w:r>
      <w:r w:rsidRPr="00402E62">
        <w:rPr>
          <w:rFonts w:ascii="Arial" w:hAnsi="Arial" w:cs="Arial"/>
          <w:sz w:val="20"/>
          <w:szCs w:val="20"/>
        </w:rPr>
        <w:t>escribe what evidence-based practice</w:t>
      </w:r>
      <w:r>
        <w:rPr>
          <w:rFonts w:ascii="Arial" w:hAnsi="Arial" w:cs="Arial"/>
          <w:sz w:val="20"/>
          <w:szCs w:val="20"/>
        </w:rPr>
        <w:t>s</w:t>
      </w:r>
      <w:r w:rsidRPr="00402E62">
        <w:rPr>
          <w:rFonts w:ascii="Arial" w:hAnsi="Arial" w:cs="Arial"/>
          <w:sz w:val="20"/>
          <w:szCs w:val="20"/>
        </w:rPr>
        <w:t xml:space="preserve">, such as the Matrix Model and/or the </w:t>
      </w:r>
      <w:r>
        <w:rPr>
          <w:rFonts w:ascii="Arial" w:hAnsi="Arial" w:cs="Arial"/>
          <w:sz w:val="20"/>
          <w:szCs w:val="20"/>
        </w:rPr>
        <w:t>c</w:t>
      </w:r>
      <w:r w:rsidRPr="00402E62">
        <w:rPr>
          <w:rFonts w:ascii="Arial" w:hAnsi="Arial" w:cs="Arial"/>
          <w:sz w:val="20"/>
          <w:szCs w:val="20"/>
        </w:rPr>
        <w:t xml:space="preserve">ontingency </w:t>
      </w:r>
      <w:r>
        <w:rPr>
          <w:rFonts w:ascii="Arial" w:hAnsi="Arial" w:cs="Arial"/>
          <w:sz w:val="20"/>
          <w:szCs w:val="20"/>
        </w:rPr>
        <w:t>m</w:t>
      </w:r>
      <w:r w:rsidRPr="00402E62">
        <w:rPr>
          <w:rFonts w:ascii="Arial" w:hAnsi="Arial" w:cs="Arial"/>
          <w:sz w:val="20"/>
          <w:szCs w:val="20"/>
        </w:rPr>
        <w:t xml:space="preserve">anagement </w:t>
      </w:r>
      <w:r>
        <w:rPr>
          <w:rFonts w:ascii="Arial" w:hAnsi="Arial" w:cs="Arial"/>
          <w:sz w:val="20"/>
          <w:szCs w:val="20"/>
        </w:rPr>
        <w:t>m</w:t>
      </w:r>
      <w:r w:rsidRPr="00402E62">
        <w:rPr>
          <w:rFonts w:ascii="Arial" w:hAnsi="Arial" w:cs="Arial"/>
          <w:sz w:val="20"/>
          <w:szCs w:val="20"/>
        </w:rPr>
        <w:t>odel, are currently being u</w:t>
      </w:r>
      <w:r>
        <w:rPr>
          <w:rFonts w:ascii="Arial" w:hAnsi="Arial" w:cs="Arial"/>
          <w:sz w:val="20"/>
          <w:szCs w:val="20"/>
        </w:rPr>
        <w:t>sed</w:t>
      </w:r>
      <w:r w:rsidRPr="00402E62">
        <w:rPr>
          <w:rFonts w:ascii="Arial" w:hAnsi="Arial" w:cs="Arial"/>
          <w:sz w:val="20"/>
          <w:szCs w:val="20"/>
        </w:rPr>
        <w:t xml:space="preserve"> or planned to be u</w:t>
      </w:r>
      <w:r>
        <w:rPr>
          <w:rFonts w:ascii="Arial" w:hAnsi="Arial" w:cs="Arial"/>
          <w:sz w:val="20"/>
          <w:szCs w:val="20"/>
        </w:rPr>
        <w:t>sed</w:t>
      </w:r>
      <w:r w:rsidRPr="00402E62">
        <w:rPr>
          <w:rFonts w:ascii="Arial" w:hAnsi="Arial" w:cs="Arial"/>
          <w:sz w:val="20"/>
          <w:szCs w:val="20"/>
        </w:rPr>
        <w:t xml:space="preserve"> to treat </w:t>
      </w:r>
      <w:r>
        <w:rPr>
          <w:rFonts w:ascii="Arial" w:hAnsi="Arial" w:cs="Arial"/>
          <w:sz w:val="20"/>
          <w:szCs w:val="20"/>
        </w:rPr>
        <w:t>people</w:t>
      </w:r>
      <w:r w:rsidRPr="00402E62">
        <w:rPr>
          <w:rFonts w:ascii="Arial" w:hAnsi="Arial" w:cs="Arial"/>
          <w:sz w:val="20"/>
          <w:szCs w:val="20"/>
        </w:rPr>
        <w:t xml:space="preserve"> with stimulant use disorders</w:t>
      </w:r>
      <w:r>
        <w:rPr>
          <w:rFonts w:ascii="Arial" w:hAnsi="Arial" w:cs="Arial"/>
          <w:sz w:val="20"/>
          <w:szCs w:val="20"/>
        </w:rPr>
        <w:t xml:space="preserve">. Indicate </w:t>
      </w:r>
      <w:r w:rsidRPr="00402E62">
        <w:rPr>
          <w:rFonts w:ascii="Arial" w:hAnsi="Arial" w:cs="Arial"/>
          <w:sz w:val="20"/>
          <w:szCs w:val="20"/>
        </w:rPr>
        <w:t xml:space="preserve">if the </w:t>
      </w:r>
      <w:r>
        <w:rPr>
          <w:rFonts w:ascii="Arial" w:hAnsi="Arial" w:cs="Arial"/>
          <w:sz w:val="20"/>
          <w:szCs w:val="20"/>
        </w:rPr>
        <w:t>recipient</w:t>
      </w:r>
      <w:r w:rsidRPr="00402E62">
        <w:rPr>
          <w:rFonts w:ascii="Arial" w:hAnsi="Arial" w:cs="Arial"/>
          <w:sz w:val="20"/>
          <w:szCs w:val="20"/>
        </w:rPr>
        <w:t xml:space="preserve"> would benefit from training and technical assistance related to evidence-based practice</w:t>
      </w:r>
      <w:r>
        <w:rPr>
          <w:rFonts w:ascii="Arial" w:hAnsi="Arial" w:cs="Arial"/>
          <w:sz w:val="20"/>
          <w:szCs w:val="20"/>
        </w:rPr>
        <w:t>s</w:t>
      </w:r>
      <w:r w:rsidRPr="00402E62">
        <w:rPr>
          <w:rFonts w:ascii="Arial" w:hAnsi="Arial" w:cs="Arial"/>
          <w:sz w:val="20"/>
          <w:szCs w:val="20"/>
        </w:rPr>
        <w:t xml:space="preserve"> for stimulant use disorders.</w:t>
      </w:r>
    </w:p>
    <w:p w14:paraId="789F8E2C" w14:textId="213F514D" w:rsidR="005B5FE1" w:rsidRPr="00830B93" w:rsidRDefault="005B5FE1" w:rsidP="005B5FE1">
      <w:pPr>
        <w:spacing w:after="0"/>
        <w:ind w:left="360"/>
        <w:rPr>
          <w:rFonts w:ascii="Arial" w:hAnsi="Arial" w:cs="Arial"/>
          <w:sz w:val="20"/>
          <w:szCs w:val="20"/>
        </w:rPr>
      </w:pPr>
    </w:p>
    <w:tbl>
      <w:tblPr>
        <w:tblStyle w:val="TableGrid"/>
        <w:tblW w:w="10530" w:type="dxa"/>
        <w:tblInd w:w="355" w:type="dxa"/>
        <w:tblLook w:val="04A0" w:firstRow="1" w:lastRow="0" w:firstColumn="1" w:lastColumn="0" w:noHBand="0" w:noVBand="1"/>
      </w:tblPr>
      <w:tblGrid>
        <w:gridCol w:w="10530"/>
      </w:tblGrid>
      <w:tr w:rsidR="000F6839" w:rsidRPr="00830B93" w14:paraId="2F59B382" w14:textId="77777777" w:rsidTr="00B556B2">
        <w:tc>
          <w:tcPr>
            <w:tcW w:w="10530" w:type="dxa"/>
          </w:tcPr>
          <w:p w14:paraId="277785EE" w14:textId="77777777" w:rsidR="000F6839"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1"/>
                  <w:enabled/>
                  <w:calcOnExit w:val="0"/>
                  <w:textInput/>
                </w:ffData>
              </w:fldChar>
            </w:r>
            <w:bookmarkStart w:id="10" w:name="Text11"/>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0"/>
          </w:p>
        </w:tc>
      </w:tr>
    </w:tbl>
    <w:p w14:paraId="1F4856F9" w14:textId="76784791" w:rsidR="000F6839" w:rsidRPr="00830B93" w:rsidRDefault="000F6839" w:rsidP="000F6839">
      <w:pPr>
        <w:spacing w:after="0"/>
        <w:rPr>
          <w:rFonts w:ascii="Arial" w:hAnsi="Arial" w:cs="Arial"/>
          <w:sz w:val="20"/>
          <w:szCs w:val="20"/>
        </w:rPr>
      </w:pPr>
    </w:p>
    <w:p w14:paraId="7C4CE2A0"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bCs/>
          <w:sz w:val="20"/>
          <w:szCs w:val="20"/>
        </w:rPr>
        <w:t xml:space="preserve">Describe how </w:t>
      </w:r>
      <w:r>
        <w:rPr>
          <w:rFonts w:ascii="Arial" w:hAnsi="Arial" w:cs="Arial"/>
          <w:bCs/>
          <w:sz w:val="20"/>
          <w:szCs w:val="20"/>
        </w:rPr>
        <w:t>people</w:t>
      </w:r>
      <w:r w:rsidRPr="00830B93">
        <w:rPr>
          <w:rFonts w:ascii="Arial" w:hAnsi="Arial" w:cs="Arial"/>
          <w:bCs/>
          <w:sz w:val="20"/>
          <w:szCs w:val="20"/>
        </w:rPr>
        <w:t xml:space="preserve"> find out about</w:t>
      </w:r>
      <w:r>
        <w:rPr>
          <w:rFonts w:ascii="Arial" w:hAnsi="Arial" w:cs="Arial"/>
          <w:bCs/>
          <w:sz w:val="20"/>
          <w:szCs w:val="20"/>
        </w:rPr>
        <w:t xml:space="preserve"> </w:t>
      </w:r>
      <w:r w:rsidRPr="00830B93">
        <w:rPr>
          <w:rFonts w:ascii="Arial" w:hAnsi="Arial" w:cs="Arial"/>
          <w:bCs/>
          <w:sz w:val="20"/>
          <w:szCs w:val="20"/>
        </w:rPr>
        <w:t xml:space="preserve">services and what outreach and engagement methods </w:t>
      </w:r>
      <w:r>
        <w:rPr>
          <w:rFonts w:ascii="Arial" w:hAnsi="Arial" w:cs="Arial"/>
          <w:bCs/>
          <w:sz w:val="20"/>
          <w:szCs w:val="20"/>
        </w:rPr>
        <w:t xml:space="preserve">are </w:t>
      </w:r>
      <w:r w:rsidRPr="00830B93">
        <w:rPr>
          <w:rFonts w:ascii="Arial" w:hAnsi="Arial" w:cs="Arial"/>
          <w:bCs/>
          <w:sz w:val="20"/>
          <w:szCs w:val="20"/>
        </w:rPr>
        <w:t>use</w:t>
      </w:r>
      <w:r>
        <w:rPr>
          <w:rFonts w:ascii="Arial" w:hAnsi="Arial" w:cs="Arial"/>
          <w:bCs/>
          <w:sz w:val="20"/>
          <w:szCs w:val="20"/>
        </w:rPr>
        <w:t>d</w:t>
      </w:r>
      <w:r w:rsidRPr="00830B93">
        <w:rPr>
          <w:rFonts w:ascii="Arial" w:hAnsi="Arial" w:cs="Arial"/>
          <w:bCs/>
          <w:sz w:val="20"/>
          <w:szCs w:val="20"/>
        </w:rPr>
        <w:t xml:space="preserve"> to increase access to services.</w:t>
      </w:r>
    </w:p>
    <w:tbl>
      <w:tblPr>
        <w:tblStyle w:val="TableGrid"/>
        <w:tblW w:w="10530" w:type="dxa"/>
        <w:tblInd w:w="355" w:type="dxa"/>
        <w:tblLook w:val="04A0" w:firstRow="1" w:lastRow="0" w:firstColumn="1" w:lastColumn="0" w:noHBand="0" w:noVBand="1"/>
      </w:tblPr>
      <w:tblGrid>
        <w:gridCol w:w="10530"/>
      </w:tblGrid>
      <w:tr w:rsidR="002C7B43" w:rsidRPr="00830B93" w14:paraId="0957422A" w14:textId="77777777" w:rsidTr="00B556B2">
        <w:tc>
          <w:tcPr>
            <w:tcW w:w="10530" w:type="dxa"/>
          </w:tcPr>
          <w:p w14:paraId="5DE3DB0C" w14:textId="77777777" w:rsidR="002C7B43"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2"/>
                  <w:enabled/>
                  <w:calcOnExit w:val="0"/>
                  <w:textInput/>
                </w:ffData>
              </w:fldChar>
            </w:r>
            <w:bookmarkStart w:id="11" w:name="Text12"/>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1"/>
          </w:p>
        </w:tc>
      </w:tr>
    </w:tbl>
    <w:p w14:paraId="739200D3" w14:textId="41B01151" w:rsidR="002C7B43" w:rsidRPr="00830B93" w:rsidRDefault="002C7B43" w:rsidP="002C7B43">
      <w:pPr>
        <w:spacing w:after="0"/>
        <w:rPr>
          <w:rFonts w:ascii="Arial" w:hAnsi="Arial" w:cs="Arial"/>
          <w:sz w:val="20"/>
          <w:szCs w:val="20"/>
        </w:rPr>
      </w:pPr>
    </w:p>
    <w:p w14:paraId="1A951A02" w14:textId="4C43618C" w:rsidR="005B5FE1" w:rsidRPr="00057CEA" w:rsidRDefault="005B5FE1" w:rsidP="00361C61">
      <w:pPr>
        <w:pStyle w:val="ListParagraph"/>
        <w:numPr>
          <w:ilvl w:val="0"/>
          <w:numId w:val="11"/>
        </w:numPr>
        <w:spacing w:after="0"/>
        <w:rPr>
          <w:rFonts w:ascii="Arial" w:hAnsi="Arial" w:cs="Arial"/>
          <w:sz w:val="20"/>
          <w:szCs w:val="20"/>
        </w:rPr>
      </w:pPr>
      <w:r w:rsidRPr="00057CEA">
        <w:rPr>
          <w:rFonts w:ascii="Arial" w:hAnsi="Arial" w:cs="Arial"/>
          <w:sz w:val="20"/>
          <w:szCs w:val="20"/>
        </w:rPr>
        <w:t xml:space="preserve">Describe any service limitations that may exist </w:t>
      </w:r>
      <w:r w:rsidR="00F27430" w:rsidRPr="00057CEA">
        <w:rPr>
          <w:rFonts w:ascii="Arial" w:hAnsi="Arial" w:cs="Arial"/>
          <w:sz w:val="20"/>
          <w:szCs w:val="20"/>
        </w:rPr>
        <w:t>to</w:t>
      </w:r>
      <w:r w:rsidRPr="00057CEA">
        <w:rPr>
          <w:rFonts w:ascii="Arial" w:hAnsi="Arial" w:cs="Arial"/>
          <w:sz w:val="20"/>
          <w:szCs w:val="20"/>
        </w:rPr>
        <w:t xml:space="preserve"> meet </w:t>
      </w:r>
      <w:r w:rsidR="00F27430" w:rsidRPr="00057CEA">
        <w:rPr>
          <w:rFonts w:ascii="Arial" w:hAnsi="Arial" w:cs="Arial"/>
          <w:sz w:val="20"/>
          <w:szCs w:val="20"/>
        </w:rPr>
        <w:t>a</w:t>
      </w:r>
      <w:r w:rsidR="00F23E50">
        <w:rPr>
          <w:rFonts w:ascii="Arial" w:hAnsi="Arial" w:cs="Arial"/>
          <w:sz w:val="20"/>
          <w:szCs w:val="20"/>
        </w:rPr>
        <w:t>n individual’s</w:t>
      </w:r>
      <w:r w:rsidRPr="00057CEA">
        <w:rPr>
          <w:rFonts w:ascii="Arial" w:hAnsi="Arial" w:cs="Arial"/>
          <w:sz w:val="20"/>
          <w:szCs w:val="20"/>
        </w:rPr>
        <w:t xml:space="preserve"> need</w:t>
      </w:r>
      <w:r w:rsidR="00F27430" w:rsidRPr="00057CEA">
        <w:rPr>
          <w:rFonts w:ascii="Arial" w:hAnsi="Arial" w:cs="Arial"/>
          <w:sz w:val="20"/>
          <w:szCs w:val="20"/>
        </w:rPr>
        <w:t>s</w:t>
      </w:r>
      <w:r w:rsidR="00057CEA" w:rsidRPr="00057CEA">
        <w:rPr>
          <w:rFonts w:ascii="Arial" w:hAnsi="Arial" w:cs="Arial"/>
          <w:sz w:val="20"/>
          <w:szCs w:val="20"/>
        </w:rPr>
        <w:t>,</w:t>
      </w:r>
      <w:r w:rsidRPr="00057CEA">
        <w:rPr>
          <w:rFonts w:ascii="Arial" w:hAnsi="Arial" w:cs="Arial"/>
          <w:sz w:val="20"/>
          <w:szCs w:val="20"/>
        </w:rPr>
        <w:t xml:space="preserve"> as determined by the individual’s assessment and level of care.</w:t>
      </w:r>
    </w:p>
    <w:tbl>
      <w:tblPr>
        <w:tblStyle w:val="TableGrid"/>
        <w:tblW w:w="10530" w:type="dxa"/>
        <w:tblInd w:w="355" w:type="dxa"/>
        <w:tblLook w:val="04A0" w:firstRow="1" w:lastRow="0" w:firstColumn="1" w:lastColumn="0" w:noHBand="0" w:noVBand="1"/>
      </w:tblPr>
      <w:tblGrid>
        <w:gridCol w:w="10530"/>
      </w:tblGrid>
      <w:tr w:rsidR="002C7B43" w:rsidRPr="00830B93" w14:paraId="59858CE9" w14:textId="77777777" w:rsidTr="00B556B2">
        <w:tc>
          <w:tcPr>
            <w:tcW w:w="10530" w:type="dxa"/>
          </w:tcPr>
          <w:p w14:paraId="1E0C50D4" w14:textId="77777777" w:rsidR="002C7B43"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3"/>
                  <w:enabled/>
                  <w:calcOnExit w:val="0"/>
                  <w:textInput/>
                </w:ffData>
              </w:fldChar>
            </w:r>
            <w:bookmarkStart w:id="12" w:name="Text13"/>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2"/>
          </w:p>
        </w:tc>
      </w:tr>
    </w:tbl>
    <w:p w14:paraId="737BB3D0" w14:textId="6FE3A2C0" w:rsidR="002C7B43" w:rsidRDefault="002C7B43" w:rsidP="002C7B43">
      <w:pPr>
        <w:spacing w:after="0"/>
        <w:rPr>
          <w:rFonts w:ascii="Arial" w:hAnsi="Arial" w:cs="Arial"/>
          <w:sz w:val="20"/>
          <w:szCs w:val="20"/>
        </w:rPr>
      </w:pPr>
    </w:p>
    <w:p w14:paraId="0AE7A341" w14:textId="77777777" w:rsidR="00F23E50" w:rsidRPr="00830B93" w:rsidRDefault="00F23E50" w:rsidP="002C7B43">
      <w:pPr>
        <w:spacing w:after="0"/>
        <w:rPr>
          <w:rFonts w:ascii="Arial" w:hAnsi="Arial" w:cs="Arial"/>
          <w:sz w:val="20"/>
          <w:szCs w:val="20"/>
        </w:rPr>
      </w:pPr>
    </w:p>
    <w:p w14:paraId="548DA277"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sz w:val="20"/>
          <w:szCs w:val="20"/>
        </w:rPr>
        <w:lastRenderedPageBreak/>
        <w:t xml:space="preserve">Describe how </w:t>
      </w:r>
      <w:r>
        <w:rPr>
          <w:rFonts w:ascii="Arial" w:hAnsi="Arial" w:cs="Arial"/>
          <w:sz w:val="20"/>
          <w:szCs w:val="20"/>
        </w:rPr>
        <w:t>your program</w:t>
      </w:r>
      <w:r w:rsidRPr="00830B93">
        <w:rPr>
          <w:rFonts w:ascii="Arial" w:hAnsi="Arial" w:cs="Arial"/>
          <w:sz w:val="20"/>
          <w:szCs w:val="20"/>
        </w:rPr>
        <w:t xml:space="preserve"> will work to minimize wait</w:t>
      </w:r>
      <w:r>
        <w:rPr>
          <w:rFonts w:ascii="Arial" w:hAnsi="Arial" w:cs="Arial"/>
          <w:sz w:val="20"/>
          <w:szCs w:val="20"/>
        </w:rPr>
        <w:t xml:space="preserve"> </w:t>
      </w:r>
      <w:r w:rsidRPr="00830B93">
        <w:rPr>
          <w:rFonts w:ascii="Arial" w:hAnsi="Arial" w:cs="Arial"/>
          <w:sz w:val="20"/>
          <w:szCs w:val="20"/>
        </w:rPr>
        <w:t xml:space="preserve">list times and how </w:t>
      </w:r>
      <w:r>
        <w:rPr>
          <w:rFonts w:ascii="Arial" w:hAnsi="Arial" w:cs="Arial"/>
          <w:sz w:val="20"/>
          <w:szCs w:val="20"/>
        </w:rPr>
        <w:t>your program</w:t>
      </w:r>
      <w:r w:rsidRPr="00830B93">
        <w:rPr>
          <w:rFonts w:ascii="Arial" w:hAnsi="Arial" w:cs="Arial"/>
          <w:sz w:val="20"/>
          <w:szCs w:val="20"/>
        </w:rPr>
        <w:t xml:space="preserve"> </w:t>
      </w:r>
      <w:r>
        <w:rPr>
          <w:rFonts w:ascii="Arial" w:hAnsi="Arial" w:cs="Arial"/>
          <w:sz w:val="20"/>
          <w:szCs w:val="20"/>
        </w:rPr>
        <w:t xml:space="preserve">intends to </w:t>
      </w:r>
      <w:r w:rsidRPr="00830B93">
        <w:rPr>
          <w:rFonts w:ascii="Arial" w:hAnsi="Arial" w:cs="Arial"/>
          <w:sz w:val="20"/>
          <w:szCs w:val="20"/>
        </w:rPr>
        <w:t>overcome any subcontractor, staffing, capacity, or other barrier that contribute</w:t>
      </w:r>
      <w:r>
        <w:rPr>
          <w:rFonts w:ascii="Arial" w:hAnsi="Arial" w:cs="Arial"/>
          <w:sz w:val="20"/>
          <w:szCs w:val="20"/>
        </w:rPr>
        <w:t>s</w:t>
      </w:r>
      <w:r w:rsidRPr="00830B93">
        <w:rPr>
          <w:rFonts w:ascii="Arial" w:hAnsi="Arial" w:cs="Arial"/>
          <w:sz w:val="20"/>
          <w:szCs w:val="20"/>
        </w:rPr>
        <w:t xml:space="preserve"> to wait list times.</w:t>
      </w:r>
    </w:p>
    <w:tbl>
      <w:tblPr>
        <w:tblStyle w:val="TableGrid"/>
        <w:tblW w:w="10530" w:type="dxa"/>
        <w:tblInd w:w="355" w:type="dxa"/>
        <w:tblLook w:val="04A0" w:firstRow="1" w:lastRow="0" w:firstColumn="1" w:lastColumn="0" w:noHBand="0" w:noVBand="1"/>
      </w:tblPr>
      <w:tblGrid>
        <w:gridCol w:w="10530"/>
      </w:tblGrid>
      <w:tr w:rsidR="002C7B43" w:rsidRPr="00830B93" w14:paraId="1615126A" w14:textId="77777777" w:rsidTr="00B556B2">
        <w:tc>
          <w:tcPr>
            <w:tcW w:w="10530" w:type="dxa"/>
          </w:tcPr>
          <w:p w14:paraId="12DBD207" w14:textId="77777777" w:rsidR="002C7B43"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4"/>
                  <w:enabled/>
                  <w:calcOnExit w:val="0"/>
                  <w:textInput/>
                </w:ffData>
              </w:fldChar>
            </w:r>
            <w:bookmarkStart w:id="13" w:name="Text14"/>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3"/>
          </w:p>
        </w:tc>
      </w:tr>
    </w:tbl>
    <w:p w14:paraId="41702501" w14:textId="77777777" w:rsidR="002C7B43" w:rsidRPr="00830B93" w:rsidRDefault="002C7B43" w:rsidP="002C7B43">
      <w:pPr>
        <w:spacing w:after="0"/>
        <w:rPr>
          <w:rFonts w:ascii="Arial" w:hAnsi="Arial" w:cs="Arial"/>
          <w:sz w:val="20"/>
          <w:szCs w:val="20"/>
        </w:rPr>
      </w:pPr>
    </w:p>
    <w:p w14:paraId="7FF85C7C"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sz w:val="20"/>
          <w:szCs w:val="20"/>
        </w:rPr>
        <w:t xml:space="preserve">Identify the unmet </w:t>
      </w:r>
      <w:r>
        <w:rPr>
          <w:rFonts w:ascii="Arial" w:hAnsi="Arial" w:cs="Arial"/>
          <w:sz w:val="20"/>
          <w:szCs w:val="20"/>
        </w:rPr>
        <w:t xml:space="preserve">treatment </w:t>
      </w:r>
      <w:r w:rsidRPr="00830B93">
        <w:rPr>
          <w:rFonts w:ascii="Arial" w:hAnsi="Arial" w:cs="Arial"/>
          <w:sz w:val="20"/>
          <w:szCs w:val="20"/>
        </w:rPr>
        <w:t xml:space="preserve">service needs and critical gaps in </w:t>
      </w:r>
      <w:r>
        <w:rPr>
          <w:rFonts w:ascii="Arial" w:hAnsi="Arial" w:cs="Arial"/>
          <w:sz w:val="20"/>
          <w:szCs w:val="20"/>
        </w:rPr>
        <w:t xml:space="preserve">the </w:t>
      </w:r>
      <w:r w:rsidRPr="00830B93">
        <w:rPr>
          <w:rFonts w:ascii="Arial" w:hAnsi="Arial" w:cs="Arial"/>
          <w:sz w:val="20"/>
          <w:szCs w:val="20"/>
        </w:rPr>
        <w:t xml:space="preserve">service system across diverse populations, including underserved populations as defined in </w:t>
      </w:r>
      <w:hyperlink r:id="rId9" w:history="1">
        <w:r w:rsidRPr="00830B93">
          <w:rPr>
            <w:rStyle w:val="Hyperlink"/>
            <w:rFonts w:ascii="Arial" w:hAnsi="Arial" w:cs="Arial"/>
            <w:sz w:val="20"/>
            <w:szCs w:val="20"/>
          </w:rPr>
          <w:t>Executive Order 13985</w:t>
        </w:r>
      </w:hyperlink>
      <w:r w:rsidRPr="00830B93">
        <w:rPr>
          <w:rFonts w:ascii="Arial" w:hAnsi="Arial" w:cs="Arial"/>
          <w:sz w:val="20"/>
          <w:szCs w:val="20"/>
        </w:rPr>
        <w:t xml:space="preserve"> (</w:t>
      </w:r>
      <w:r>
        <w:rPr>
          <w:rFonts w:ascii="Arial" w:hAnsi="Arial" w:cs="Arial"/>
          <w:sz w:val="20"/>
          <w:szCs w:val="20"/>
        </w:rPr>
        <w:t xml:space="preserve">examples: </w:t>
      </w:r>
      <w:r w:rsidRPr="00830B93">
        <w:rPr>
          <w:rFonts w:ascii="Arial" w:hAnsi="Arial" w:cs="Arial"/>
          <w:sz w:val="20"/>
          <w:szCs w:val="20"/>
        </w:rPr>
        <w:t>racial/ethnic minorities, LGBTQI+, older adults, disabled)</w:t>
      </w:r>
    </w:p>
    <w:tbl>
      <w:tblPr>
        <w:tblStyle w:val="TableGrid"/>
        <w:tblW w:w="10530" w:type="dxa"/>
        <w:tblInd w:w="355" w:type="dxa"/>
        <w:tblLook w:val="04A0" w:firstRow="1" w:lastRow="0" w:firstColumn="1" w:lastColumn="0" w:noHBand="0" w:noVBand="1"/>
      </w:tblPr>
      <w:tblGrid>
        <w:gridCol w:w="10530"/>
      </w:tblGrid>
      <w:tr w:rsidR="002C7B43" w:rsidRPr="00830B93" w14:paraId="4007B91C" w14:textId="77777777" w:rsidTr="00B556B2">
        <w:tc>
          <w:tcPr>
            <w:tcW w:w="10530" w:type="dxa"/>
          </w:tcPr>
          <w:p w14:paraId="23EC6C69" w14:textId="77777777" w:rsidR="002C7B43"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5"/>
                  <w:enabled/>
                  <w:calcOnExit w:val="0"/>
                  <w:textInput/>
                </w:ffData>
              </w:fldChar>
            </w:r>
            <w:bookmarkStart w:id="14" w:name="Text15"/>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4"/>
          </w:p>
        </w:tc>
      </w:tr>
    </w:tbl>
    <w:p w14:paraId="03552D29" w14:textId="77777777" w:rsidR="002C7B43" w:rsidRPr="00830B93" w:rsidRDefault="002C7B43" w:rsidP="002C7B43">
      <w:pPr>
        <w:spacing w:after="0"/>
        <w:rPr>
          <w:rFonts w:ascii="Arial" w:hAnsi="Arial" w:cs="Arial"/>
          <w:sz w:val="20"/>
          <w:szCs w:val="20"/>
        </w:rPr>
      </w:pPr>
    </w:p>
    <w:p w14:paraId="0D1B5AE4" w14:textId="77777777" w:rsidR="00631CFB" w:rsidRPr="00830B93" w:rsidRDefault="00631CFB" w:rsidP="00631CFB">
      <w:pPr>
        <w:pStyle w:val="ListParagraph"/>
        <w:numPr>
          <w:ilvl w:val="0"/>
          <w:numId w:val="11"/>
        </w:numPr>
        <w:spacing w:after="0"/>
        <w:rPr>
          <w:rFonts w:ascii="Arial" w:hAnsi="Arial" w:cs="Arial"/>
          <w:sz w:val="20"/>
          <w:szCs w:val="20"/>
        </w:rPr>
      </w:pPr>
      <w:r w:rsidRPr="00830B93">
        <w:rPr>
          <w:rFonts w:ascii="Arial" w:hAnsi="Arial" w:cs="Arial"/>
          <w:sz w:val="20"/>
          <w:szCs w:val="20"/>
        </w:rPr>
        <w:t xml:space="preserve">Describe how the needs </w:t>
      </w:r>
      <w:r>
        <w:rPr>
          <w:rFonts w:ascii="Arial" w:hAnsi="Arial" w:cs="Arial"/>
          <w:sz w:val="20"/>
          <w:szCs w:val="20"/>
        </w:rPr>
        <w:t>of diverse and underserved</w:t>
      </w:r>
      <w:r w:rsidRPr="00830B93">
        <w:rPr>
          <w:rFonts w:ascii="Arial" w:hAnsi="Arial" w:cs="Arial"/>
          <w:sz w:val="20"/>
          <w:szCs w:val="20"/>
        </w:rPr>
        <w:t xml:space="preserve"> populations will be identified, </w:t>
      </w:r>
      <w:r>
        <w:rPr>
          <w:rFonts w:ascii="Arial" w:hAnsi="Arial" w:cs="Arial"/>
          <w:sz w:val="20"/>
          <w:szCs w:val="20"/>
        </w:rPr>
        <w:t>the</w:t>
      </w:r>
      <w:r w:rsidRPr="00830B93">
        <w:rPr>
          <w:rFonts w:ascii="Arial" w:hAnsi="Arial" w:cs="Arial"/>
          <w:sz w:val="20"/>
          <w:szCs w:val="20"/>
        </w:rPr>
        <w:t xml:space="preserve"> targeted approach to expanding access to care for these individuals, and </w:t>
      </w:r>
      <w:r>
        <w:rPr>
          <w:rFonts w:ascii="Arial" w:hAnsi="Arial" w:cs="Arial"/>
          <w:sz w:val="20"/>
          <w:szCs w:val="20"/>
        </w:rPr>
        <w:t xml:space="preserve">the </w:t>
      </w:r>
      <w:r w:rsidRPr="00830B93">
        <w:rPr>
          <w:rFonts w:ascii="Arial" w:hAnsi="Arial" w:cs="Arial"/>
          <w:sz w:val="20"/>
          <w:szCs w:val="20"/>
        </w:rPr>
        <w:t xml:space="preserve">strategies and activities that will be incorporated to address </w:t>
      </w:r>
      <w:r>
        <w:rPr>
          <w:rFonts w:ascii="Arial" w:hAnsi="Arial" w:cs="Arial"/>
          <w:sz w:val="20"/>
          <w:szCs w:val="20"/>
        </w:rPr>
        <w:t>and</w:t>
      </w:r>
      <w:r w:rsidRPr="00830B93">
        <w:rPr>
          <w:rFonts w:ascii="Arial" w:hAnsi="Arial" w:cs="Arial"/>
          <w:sz w:val="20"/>
          <w:szCs w:val="20"/>
        </w:rPr>
        <w:t xml:space="preserve"> promote behavioral health equity.</w:t>
      </w:r>
    </w:p>
    <w:tbl>
      <w:tblPr>
        <w:tblStyle w:val="TableGrid"/>
        <w:tblW w:w="10530" w:type="dxa"/>
        <w:tblInd w:w="355" w:type="dxa"/>
        <w:tblLook w:val="04A0" w:firstRow="1" w:lastRow="0" w:firstColumn="1" w:lastColumn="0" w:noHBand="0" w:noVBand="1"/>
      </w:tblPr>
      <w:tblGrid>
        <w:gridCol w:w="10530"/>
      </w:tblGrid>
      <w:tr w:rsidR="002C7B43" w:rsidRPr="00830B93" w14:paraId="511BEA01" w14:textId="77777777" w:rsidTr="00B556B2">
        <w:tc>
          <w:tcPr>
            <w:tcW w:w="10530" w:type="dxa"/>
          </w:tcPr>
          <w:p w14:paraId="4E1D3235" w14:textId="77777777" w:rsidR="002C7B43"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6"/>
                  <w:enabled/>
                  <w:calcOnExit w:val="0"/>
                  <w:textInput/>
                </w:ffData>
              </w:fldChar>
            </w:r>
            <w:bookmarkStart w:id="15" w:name="Text16"/>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5"/>
          </w:p>
        </w:tc>
      </w:tr>
    </w:tbl>
    <w:p w14:paraId="36ECFE88" w14:textId="77777777" w:rsidR="002C7B43" w:rsidRPr="00830B93" w:rsidRDefault="002C7B43" w:rsidP="002C7B43">
      <w:pPr>
        <w:spacing w:after="0"/>
        <w:rPr>
          <w:rFonts w:ascii="Arial" w:hAnsi="Arial" w:cs="Arial"/>
          <w:sz w:val="20"/>
          <w:szCs w:val="20"/>
        </w:rPr>
      </w:pPr>
    </w:p>
    <w:p w14:paraId="77B3D931" w14:textId="77777777" w:rsidR="00631CFB" w:rsidRPr="00830B93" w:rsidRDefault="00631CFB" w:rsidP="00631CFB">
      <w:pPr>
        <w:pStyle w:val="ListParagraph"/>
        <w:numPr>
          <w:ilvl w:val="0"/>
          <w:numId w:val="11"/>
        </w:numPr>
        <w:spacing w:after="0"/>
        <w:rPr>
          <w:rFonts w:ascii="Arial" w:hAnsi="Arial" w:cs="Arial"/>
          <w:sz w:val="20"/>
          <w:szCs w:val="20"/>
        </w:rPr>
      </w:pPr>
      <w:r>
        <w:rPr>
          <w:rFonts w:ascii="Arial" w:hAnsi="Arial" w:cs="Arial"/>
          <w:sz w:val="20"/>
          <w:szCs w:val="20"/>
        </w:rPr>
        <w:t>D</w:t>
      </w:r>
      <w:r w:rsidRPr="00830B93">
        <w:rPr>
          <w:rFonts w:ascii="Arial" w:hAnsi="Arial" w:cs="Arial"/>
          <w:sz w:val="20"/>
          <w:szCs w:val="20"/>
        </w:rPr>
        <w:t xml:space="preserve">escribe </w:t>
      </w:r>
      <w:r>
        <w:rPr>
          <w:rFonts w:ascii="Arial" w:hAnsi="Arial" w:cs="Arial"/>
          <w:sz w:val="20"/>
          <w:szCs w:val="20"/>
        </w:rPr>
        <w:t>the</w:t>
      </w:r>
      <w:r w:rsidRPr="00830B93">
        <w:rPr>
          <w:rFonts w:ascii="Arial" w:hAnsi="Arial" w:cs="Arial"/>
          <w:sz w:val="20"/>
          <w:szCs w:val="20"/>
        </w:rPr>
        <w:t xml:space="preserve"> plan to provide treatment transition and coverage for </w:t>
      </w:r>
      <w:r>
        <w:rPr>
          <w:rFonts w:ascii="Arial" w:hAnsi="Arial" w:cs="Arial"/>
          <w:sz w:val="20"/>
          <w:szCs w:val="20"/>
        </w:rPr>
        <w:t>individuals</w:t>
      </w:r>
      <w:r w:rsidRPr="00830B93">
        <w:rPr>
          <w:rFonts w:ascii="Arial" w:hAnsi="Arial" w:cs="Arial"/>
          <w:sz w:val="20"/>
          <w:szCs w:val="20"/>
        </w:rPr>
        <w:t xml:space="preserve"> re</w:t>
      </w:r>
      <w:r>
        <w:rPr>
          <w:rFonts w:ascii="Arial" w:hAnsi="Arial" w:cs="Arial"/>
          <w:sz w:val="20"/>
          <w:szCs w:val="20"/>
        </w:rPr>
        <w:t>-</w:t>
      </w:r>
      <w:r w:rsidRPr="00830B93">
        <w:rPr>
          <w:rFonts w:ascii="Arial" w:hAnsi="Arial" w:cs="Arial"/>
          <w:sz w:val="20"/>
          <w:szCs w:val="20"/>
        </w:rPr>
        <w:t>entering communities from criminal justice settings or other rehabilitative settings.</w:t>
      </w:r>
    </w:p>
    <w:tbl>
      <w:tblPr>
        <w:tblStyle w:val="TableGrid"/>
        <w:tblW w:w="10530" w:type="dxa"/>
        <w:tblInd w:w="355" w:type="dxa"/>
        <w:tblLook w:val="04A0" w:firstRow="1" w:lastRow="0" w:firstColumn="1" w:lastColumn="0" w:noHBand="0" w:noVBand="1"/>
      </w:tblPr>
      <w:tblGrid>
        <w:gridCol w:w="10530"/>
      </w:tblGrid>
      <w:tr w:rsidR="005B5FE1" w:rsidRPr="00830B93" w14:paraId="100C722D" w14:textId="77777777" w:rsidTr="00B556B2">
        <w:tc>
          <w:tcPr>
            <w:tcW w:w="10530" w:type="dxa"/>
          </w:tcPr>
          <w:p w14:paraId="67C873B9" w14:textId="77777777" w:rsidR="005B5FE1"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7"/>
                  <w:enabled/>
                  <w:calcOnExit w:val="0"/>
                  <w:textInput/>
                </w:ffData>
              </w:fldChar>
            </w:r>
            <w:bookmarkStart w:id="16" w:name="Text17"/>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6"/>
          </w:p>
        </w:tc>
      </w:tr>
    </w:tbl>
    <w:p w14:paraId="6D9E6C56" w14:textId="77777777" w:rsidR="005E1FC8" w:rsidRDefault="005E1FC8" w:rsidP="005E1FC8">
      <w:pPr>
        <w:pStyle w:val="ListParagraph"/>
        <w:spacing w:after="0"/>
        <w:ind w:left="360"/>
        <w:rPr>
          <w:rFonts w:ascii="Arial" w:hAnsi="Arial" w:cs="Arial"/>
          <w:sz w:val="20"/>
          <w:szCs w:val="20"/>
        </w:rPr>
      </w:pPr>
    </w:p>
    <w:p w14:paraId="22E781D5" w14:textId="77777777" w:rsidR="00631CFB" w:rsidRPr="005E1FC8" w:rsidRDefault="00631CFB" w:rsidP="005974B9">
      <w:pPr>
        <w:pStyle w:val="ListParagraph"/>
        <w:numPr>
          <w:ilvl w:val="0"/>
          <w:numId w:val="11"/>
        </w:numPr>
        <w:spacing w:after="0"/>
        <w:rPr>
          <w:rFonts w:ascii="Arial" w:hAnsi="Arial" w:cs="Arial"/>
          <w:sz w:val="20"/>
          <w:szCs w:val="20"/>
        </w:rPr>
      </w:pPr>
      <w:r w:rsidRPr="005E1FC8">
        <w:rPr>
          <w:rFonts w:ascii="Arial" w:hAnsi="Arial" w:cs="Arial"/>
          <w:sz w:val="20"/>
          <w:szCs w:val="20"/>
        </w:rPr>
        <w:t xml:space="preserve">If applicable, describe how </w:t>
      </w:r>
      <w:r>
        <w:rPr>
          <w:rFonts w:ascii="Arial" w:hAnsi="Arial" w:cs="Arial"/>
          <w:sz w:val="20"/>
          <w:szCs w:val="20"/>
        </w:rPr>
        <w:t>your program</w:t>
      </w:r>
      <w:r w:rsidRPr="005E1FC8">
        <w:rPr>
          <w:rFonts w:ascii="Arial" w:hAnsi="Arial" w:cs="Arial"/>
          <w:sz w:val="20"/>
          <w:szCs w:val="20"/>
        </w:rPr>
        <w:t xml:space="preserve"> will implement community recovery support services, such as: </w:t>
      </w:r>
    </w:p>
    <w:p w14:paraId="266C7B7B" w14:textId="77777777" w:rsidR="00631CFB" w:rsidRPr="00830B93" w:rsidRDefault="00631CFB" w:rsidP="005974B9">
      <w:pPr>
        <w:pStyle w:val="ListParagraph"/>
        <w:numPr>
          <w:ilvl w:val="1"/>
          <w:numId w:val="11"/>
        </w:numPr>
        <w:contextualSpacing/>
        <w:rPr>
          <w:rFonts w:ascii="Arial" w:hAnsi="Arial" w:cs="Arial"/>
          <w:sz w:val="20"/>
          <w:szCs w:val="20"/>
        </w:rPr>
      </w:pPr>
      <w:r w:rsidRPr="00830B93">
        <w:rPr>
          <w:rFonts w:ascii="Arial" w:hAnsi="Arial" w:cs="Arial"/>
          <w:sz w:val="20"/>
          <w:szCs w:val="20"/>
        </w:rPr>
        <w:t xml:space="preserve">Peer </w:t>
      </w:r>
      <w:proofErr w:type="gramStart"/>
      <w:r w:rsidRPr="00830B93">
        <w:rPr>
          <w:rFonts w:ascii="Arial" w:hAnsi="Arial" w:cs="Arial"/>
          <w:sz w:val="20"/>
          <w:szCs w:val="20"/>
        </w:rPr>
        <w:t>supports</w:t>
      </w:r>
      <w:proofErr w:type="gramEnd"/>
    </w:p>
    <w:p w14:paraId="2AC9F2E1" w14:textId="77777777" w:rsidR="00631CFB" w:rsidRPr="00830B93" w:rsidRDefault="00631CFB" w:rsidP="005974B9">
      <w:pPr>
        <w:pStyle w:val="ListParagraph"/>
        <w:numPr>
          <w:ilvl w:val="1"/>
          <w:numId w:val="11"/>
        </w:numPr>
        <w:contextualSpacing/>
        <w:rPr>
          <w:rFonts w:ascii="Arial" w:hAnsi="Arial" w:cs="Arial"/>
          <w:sz w:val="20"/>
          <w:szCs w:val="20"/>
        </w:rPr>
      </w:pPr>
      <w:r w:rsidRPr="00830B93">
        <w:rPr>
          <w:rFonts w:ascii="Arial" w:hAnsi="Arial" w:cs="Arial"/>
          <w:sz w:val="20"/>
          <w:szCs w:val="20"/>
        </w:rPr>
        <w:t>Recovery coaches</w:t>
      </w:r>
    </w:p>
    <w:p w14:paraId="2077695F" w14:textId="77777777" w:rsidR="00631CFB" w:rsidRPr="00830B93" w:rsidRDefault="00631CFB" w:rsidP="005974B9">
      <w:pPr>
        <w:pStyle w:val="ListParagraph"/>
        <w:numPr>
          <w:ilvl w:val="1"/>
          <w:numId w:val="11"/>
        </w:numPr>
        <w:contextualSpacing/>
        <w:rPr>
          <w:rFonts w:ascii="Arial" w:hAnsi="Arial" w:cs="Arial"/>
          <w:sz w:val="20"/>
          <w:szCs w:val="20"/>
        </w:rPr>
      </w:pPr>
      <w:r w:rsidRPr="00830B93">
        <w:rPr>
          <w:rFonts w:ascii="Arial" w:hAnsi="Arial" w:cs="Arial"/>
          <w:sz w:val="20"/>
          <w:szCs w:val="20"/>
        </w:rPr>
        <w:t>Vocational training</w:t>
      </w:r>
    </w:p>
    <w:p w14:paraId="20122DDE" w14:textId="77777777" w:rsidR="00631CFB" w:rsidRPr="00830B93" w:rsidRDefault="00631CFB" w:rsidP="005974B9">
      <w:pPr>
        <w:pStyle w:val="ListParagraph"/>
        <w:numPr>
          <w:ilvl w:val="1"/>
          <w:numId w:val="11"/>
        </w:numPr>
        <w:contextualSpacing/>
        <w:rPr>
          <w:rFonts w:ascii="Arial" w:hAnsi="Arial" w:cs="Arial"/>
          <w:sz w:val="20"/>
          <w:szCs w:val="20"/>
        </w:rPr>
      </w:pPr>
      <w:r w:rsidRPr="00830B93">
        <w:rPr>
          <w:rFonts w:ascii="Arial" w:hAnsi="Arial" w:cs="Arial"/>
          <w:sz w:val="20"/>
          <w:szCs w:val="20"/>
        </w:rPr>
        <w:t>Employment support</w:t>
      </w:r>
    </w:p>
    <w:p w14:paraId="747654A5" w14:textId="77777777" w:rsidR="00631CFB" w:rsidRPr="00830B93" w:rsidRDefault="00631CFB" w:rsidP="005974B9">
      <w:pPr>
        <w:pStyle w:val="ListParagraph"/>
        <w:numPr>
          <w:ilvl w:val="1"/>
          <w:numId w:val="11"/>
        </w:numPr>
        <w:contextualSpacing/>
        <w:rPr>
          <w:rFonts w:ascii="Arial" w:hAnsi="Arial" w:cs="Arial"/>
          <w:sz w:val="20"/>
          <w:szCs w:val="20"/>
        </w:rPr>
      </w:pPr>
      <w:r w:rsidRPr="00830B93">
        <w:rPr>
          <w:rFonts w:ascii="Arial" w:hAnsi="Arial" w:cs="Arial"/>
          <w:sz w:val="20"/>
          <w:szCs w:val="20"/>
        </w:rPr>
        <w:t>Transportation</w:t>
      </w:r>
    </w:p>
    <w:p w14:paraId="7A9A2437" w14:textId="77777777" w:rsidR="00631CFB" w:rsidRPr="00830B93" w:rsidRDefault="00631CFB" w:rsidP="00631CFB">
      <w:pPr>
        <w:pStyle w:val="ListParagraph"/>
        <w:numPr>
          <w:ilvl w:val="1"/>
          <w:numId w:val="11"/>
        </w:numPr>
        <w:spacing w:after="0"/>
        <w:rPr>
          <w:rFonts w:ascii="Arial" w:hAnsi="Arial" w:cs="Arial"/>
          <w:sz w:val="20"/>
          <w:szCs w:val="20"/>
        </w:rPr>
      </w:pPr>
      <w:r w:rsidRPr="00830B93">
        <w:rPr>
          <w:rFonts w:ascii="Arial" w:hAnsi="Arial" w:cs="Arial"/>
          <w:sz w:val="20"/>
          <w:szCs w:val="20"/>
        </w:rPr>
        <w:t>Recovery Community Organizations</w:t>
      </w:r>
    </w:p>
    <w:tbl>
      <w:tblPr>
        <w:tblStyle w:val="TableGrid"/>
        <w:tblW w:w="10530" w:type="dxa"/>
        <w:tblInd w:w="355" w:type="dxa"/>
        <w:tblLook w:val="04A0" w:firstRow="1" w:lastRow="0" w:firstColumn="1" w:lastColumn="0" w:noHBand="0" w:noVBand="1"/>
      </w:tblPr>
      <w:tblGrid>
        <w:gridCol w:w="10530"/>
      </w:tblGrid>
      <w:tr w:rsidR="005B5FE1" w:rsidRPr="00830B93" w14:paraId="70738B4F" w14:textId="77777777" w:rsidTr="00B556B2">
        <w:tc>
          <w:tcPr>
            <w:tcW w:w="10530" w:type="dxa"/>
          </w:tcPr>
          <w:p w14:paraId="3AA53F20" w14:textId="77777777" w:rsidR="005B5FE1"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8"/>
                  <w:enabled/>
                  <w:calcOnExit w:val="0"/>
                  <w:textInput/>
                </w:ffData>
              </w:fldChar>
            </w:r>
            <w:bookmarkStart w:id="17" w:name="Text18"/>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7"/>
          </w:p>
        </w:tc>
      </w:tr>
    </w:tbl>
    <w:p w14:paraId="0CF9967A" w14:textId="3279EF0C" w:rsidR="006A5E37" w:rsidRPr="00830B93" w:rsidRDefault="006A5E37" w:rsidP="005B5FE1">
      <w:pPr>
        <w:spacing w:after="0"/>
        <w:rPr>
          <w:rFonts w:ascii="Arial" w:hAnsi="Arial" w:cs="Arial"/>
          <w:sz w:val="20"/>
          <w:szCs w:val="20"/>
        </w:rPr>
      </w:pPr>
    </w:p>
    <w:p w14:paraId="4F383CEE" w14:textId="6D0D6193" w:rsidR="006A5E37" w:rsidRPr="00830B93" w:rsidRDefault="005E1FC8" w:rsidP="00361C61">
      <w:pPr>
        <w:pStyle w:val="ListParagraph"/>
        <w:numPr>
          <w:ilvl w:val="0"/>
          <w:numId w:val="11"/>
        </w:numPr>
        <w:spacing w:after="0"/>
        <w:rPr>
          <w:rFonts w:ascii="Arial" w:hAnsi="Arial" w:cs="Arial"/>
          <w:sz w:val="20"/>
          <w:szCs w:val="20"/>
        </w:rPr>
      </w:pPr>
      <w:r w:rsidRPr="00F23E50">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728DDEEE" wp14:editId="512BFB54">
                <wp:simplePos x="0" y="0"/>
                <wp:positionH relativeFrom="margin">
                  <wp:align>right</wp:align>
                </wp:positionH>
                <wp:positionV relativeFrom="paragraph">
                  <wp:posOffset>218440</wp:posOffset>
                </wp:positionV>
                <wp:extent cx="6744970" cy="144780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447800"/>
                        </a:xfrm>
                        <a:prstGeom prst="rect">
                          <a:avLst/>
                        </a:prstGeom>
                        <a:solidFill>
                          <a:srgbClr val="FFFFFF"/>
                        </a:solidFill>
                        <a:ln w="9525">
                          <a:solidFill>
                            <a:srgbClr val="000000"/>
                          </a:solidFill>
                          <a:miter lim="800000"/>
                          <a:headEnd/>
                          <a:tailEnd/>
                        </a:ln>
                      </wps:spPr>
                      <wps:txbx>
                        <w:txbxContent>
                          <w:p w14:paraId="41B19144" w14:textId="1FC69E22" w:rsidR="00631CFB" w:rsidRDefault="00F41987" w:rsidP="00631CFB">
                            <w:pPr>
                              <w:spacing w:after="0"/>
                            </w:pPr>
                            <w:hyperlink r:id="rId10" w:history="1">
                              <w:r w:rsidR="00631CFB" w:rsidRPr="00057CEA">
                                <w:rPr>
                                  <w:rStyle w:val="Hyperlink"/>
                                  <w:rFonts w:ascii="Arial" w:hAnsi="Arial" w:cs="Arial"/>
                                  <w:sz w:val="20"/>
                                  <w:szCs w:val="20"/>
                                </w:rPr>
                                <w:t xml:space="preserve">Recovery </w:t>
                              </w:r>
                              <w:r w:rsidR="00631CFB">
                                <w:rPr>
                                  <w:rStyle w:val="Hyperlink"/>
                                  <w:rFonts w:ascii="Arial" w:hAnsi="Arial" w:cs="Arial"/>
                                  <w:sz w:val="20"/>
                                  <w:szCs w:val="20"/>
                                </w:rPr>
                                <w:t>h</w:t>
                              </w:r>
                              <w:r w:rsidR="00631CFB" w:rsidRPr="00057CEA">
                                <w:rPr>
                                  <w:rStyle w:val="Hyperlink"/>
                                  <w:rFonts w:ascii="Arial" w:hAnsi="Arial" w:cs="Arial"/>
                                  <w:sz w:val="20"/>
                                  <w:szCs w:val="20"/>
                                </w:rPr>
                                <w:t>ous</w:t>
                              </w:r>
                              <w:r w:rsidR="00631CFB">
                                <w:rPr>
                                  <w:rStyle w:val="Hyperlink"/>
                                  <w:rFonts w:ascii="Arial" w:hAnsi="Arial" w:cs="Arial"/>
                                  <w:sz w:val="20"/>
                                  <w:szCs w:val="20"/>
                                </w:rPr>
                                <w:t>es</w:t>
                              </w:r>
                            </w:hyperlink>
                            <w:r w:rsidR="00631CFB">
                              <w:rPr>
                                <w:rStyle w:val="Hyperlink"/>
                                <w:rFonts w:ascii="Arial" w:hAnsi="Arial" w:cs="Arial"/>
                                <w:sz w:val="20"/>
                                <w:szCs w:val="20"/>
                              </w:rPr>
                              <w:t>/residences</w:t>
                            </w:r>
                            <w:r w:rsidR="00631CFB" w:rsidRPr="00057CEA">
                              <w:rPr>
                                <w:rFonts w:ascii="Arial" w:hAnsi="Arial" w:cs="Arial"/>
                                <w:sz w:val="20"/>
                                <w:szCs w:val="20"/>
                              </w:rPr>
                              <w:t xml:space="preserve"> </w:t>
                            </w:r>
                            <w:r w:rsidR="00631CFB">
                              <w:rPr>
                                <w:rFonts w:ascii="Arial" w:hAnsi="Arial" w:cs="Arial"/>
                                <w:sz w:val="20"/>
                                <w:szCs w:val="20"/>
                              </w:rPr>
                              <w:t>are</w:t>
                            </w:r>
                            <w:r w:rsidR="00631CFB" w:rsidRPr="00057CEA">
                              <w:rPr>
                                <w:rFonts w:ascii="Arial" w:hAnsi="Arial" w:cs="Arial"/>
                                <w:sz w:val="20"/>
                                <w:szCs w:val="20"/>
                              </w:rPr>
                              <w:t xml:space="preserve"> one component of the substance use disorder treatment and recovery continuum of care. While recovery </w:t>
                            </w:r>
                            <w:r w:rsidR="00631CFB">
                              <w:rPr>
                                <w:rFonts w:ascii="Arial" w:hAnsi="Arial" w:cs="Arial"/>
                                <w:sz w:val="20"/>
                                <w:szCs w:val="20"/>
                              </w:rPr>
                              <w:t>houses/</w:t>
                            </w:r>
                            <w:r w:rsidR="00631CFB" w:rsidRPr="00057CEA">
                              <w:rPr>
                                <w:rFonts w:ascii="Arial" w:hAnsi="Arial" w:cs="Arial"/>
                                <w:sz w:val="20"/>
                                <w:szCs w:val="20"/>
                              </w:rPr>
                              <w:t>residences vary widely in structure, all are centered on peer support and a connection to services that promote long-term recovery. Individuals in recovery should have a meaningful role in developing the service array used in their recovery plan. Recovery houses</w:t>
                            </w:r>
                            <w:r w:rsidR="00631CFB">
                              <w:rPr>
                                <w:rFonts w:ascii="Arial" w:hAnsi="Arial" w:cs="Arial"/>
                                <w:sz w:val="20"/>
                                <w:szCs w:val="20"/>
                              </w:rPr>
                              <w:t>/residences</w:t>
                            </w:r>
                            <w:r w:rsidR="00631CFB" w:rsidRPr="00057CEA">
                              <w:rPr>
                                <w:rFonts w:ascii="Arial" w:hAnsi="Arial" w:cs="Arial"/>
                                <w:sz w:val="20"/>
                                <w:szCs w:val="20"/>
                              </w:rPr>
                              <w:t xml:space="preserve"> are safe, healthy, family-like</w:t>
                            </w:r>
                            <w:r w:rsidR="00631CFB">
                              <w:rPr>
                                <w:rFonts w:ascii="Arial" w:hAnsi="Arial" w:cs="Arial"/>
                                <w:sz w:val="20"/>
                                <w:szCs w:val="20"/>
                              </w:rPr>
                              <w:t>, and</w:t>
                            </w:r>
                            <w:r w:rsidR="00631CFB" w:rsidRPr="00057CEA">
                              <w:rPr>
                                <w:rFonts w:ascii="Arial" w:hAnsi="Arial" w:cs="Arial"/>
                                <w:sz w:val="20"/>
                                <w:szCs w:val="20"/>
                              </w:rPr>
                              <w:t xml:space="preserve"> substance-free living environments that support individuals in recovery from </w:t>
                            </w:r>
                            <w:r w:rsidR="00631CFB">
                              <w:rPr>
                                <w:rFonts w:ascii="Arial" w:hAnsi="Arial" w:cs="Arial"/>
                                <w:sz w:val="20"/>
                                <w:szCs w:val="20"/>
                              </w:rPr>
                              <w:t>substance use</w:t>
                            </w:r>
                            <w:r w:rsidR="00631CFB" w:rsidRPr="00057CEA">
                              <w:rPr>
                                <w:rFonts w:ascii="Arial" w:hAnsi="Arial" w:cs="Arial"/>
                                <w:sz w:val="20"/>
                                <w:szCs w:val="20"/>
                              </w:rPr>
                              <w:t xml:space="preserve">. Substance-free does not prohibit prescribed medications taken as directed by a licensed practitioner, such as pharmacotherapies specifically approved by the </w:t>
                            </w:r>
                            <w:r w:rsidR="00631CFB">
                              <w:rPr>
                                <w:rFonts w:ascii="Arial" w:hAnsi="Arial" w:cs="Arial"/>
                                <w:sz w:val="20"/>
                                <w:szCs w:val="20"/>
                              </w:rPr>
                              <w:t>Food and Drug Administration</w:t>
                            </w:r>
                            <w:r w:rsidR="00631CFB" w:rsidRPr="00057CEA">
                              <w:rPr>
                                <w:rFonts w:ascii="Arial" w:hAnsi="Arial" w:cs="Arial"/>
                                <w:sz w:val="20"/>
                                <w:szCs w:val="20"/>
                              </w:rPr>
                              <w:t xml:space="preserve"> for treatment of opioid use disorder as well as other medications with </w:t>
                            </w:r>
                            <w:r w:rsidR="00631CFB">
                              <w:rPr>
                                <w:rFonts w:ascii="Arial" w:hAnsi="Arial" w:cs="Arial"/>
                                <w:sz w:val="20"/>
                                <w:szCs w:val="20"/>
                              </w:rPr>
                              <w:t xml:space="preserve">Food and Drug Administration </w:t>
                            </w:r>
                            <w:r w:rsidR="00631CFB" w:rsidRPr="00057CEA">
                              <w:rPr>
                                <w:rFonts w:ascii="Arial" w:hAnsi="Arial" w:cs="Arial"/>
                                <w:sz w:val="20"/>
                                <w:szCs w:val="20"/>
                              </w:rPr>
                              <w:t>approved indications for the treatment of co-occurring health conditions.</w:t>
                            </w:r>
                          </w:p>
                          <w:p w14:paraId="673DE6EF" w14:textId="5912CF8F" w:rsidR="00F23E50" w:rsidRDefault="00F23E50" w:rsidP="00F23E5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DEEE" id="_x0000_s1029" type="#_x0000_t202" style="position:absolute;left:0;text-align:left;margin-left:479.9pt;margin-top:17.2pt;width:531.1pt;height:11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">
                <v:textbox>
                  <w:txbxContent>
                    <w:p w14:paraId="41B19144" w14:textId="1FC69E22" w:rsidR="00631CFB" w:rsidRDefault="00F41987" w:rsidP="00631CFB">
                      <w:pPr>
                        <w:spacing w:after="0"/>
                      </w:pPr>
                      <w:hyperlink r:id="rId11" w:history="1">
                        <w:r w:rsidR="00631CFB" w:rsidRPr="00057CEA">
                          <w:rPr>
                            <w:rStyle w:val="Hyperlink"/>
                            <w:rFonts w:ascii="Arial" w:hAnsi="Arial" w:cs="Arial"/>
                            <w:sz w:val="20"/>
                            <w:szCs w:val="20"/>
                          </w:rPr>
                          <w:t xml:space="preserve">Recovery </w:t>
                        </w:r>
                        <w:r w:rsidR="00631CFB">
                          <w:rPr>
                            <w:rStyle w:val="Hyperlink"/>
                            <w:rFonts w:ascii="Arial" w:hAnsi="Arial" w:cs="Arial"/>
                            <w:sz w:val="20"/>
                            <w:szCs w:val="20"/>
                          </w:rPr>
                          <w:t>h</w:t>
                        </w:r>
                        <w:r w:rsidR="00631CFB" w:rsidRPr="00057CEA">
                          <w:rPr>
                            <w:rStyle w:val="Hyperlink"/>
                            <w:rFonts w:ascii="Arial" w:hAnsi="Arial" w:cs="Arial"/>
                            <w:sz w:val="20"/>
                            <w:szCs w:val="20"/>
                          </w:rPr>
                          <w:t>ous</w:t>
                        </w:r>
                        <w:r w:rsidR="00631CFB">
                          <w:rPr>
                            <w:rStyle w:val="Hyperlink"/>
                            <w:rFonts w:ascii="Arial" w:hAnsi="Arial" w:cs="Arial"/>
                            <w:sz w:val="20"/>
                            <w:szCs w:val="20"/>
                          </w:rPr>
                          <w:t>es</w:t>
                        </w:r>
                      </w:hyperlink>
                      <w:r w:rsidR="00631CFB">
                        <w:rPr>
                          <w:rStyle w:val="Hyperlink"/>
                          <w:rFonts w:ascii="Arial" w:hAnsi="Arial" w:cs="Arial"/>
                          <w:sz w:val="20"/>
                          <w:szCs w:val="20"/>
                        </w:rPr>
                        <w:t>/residences</w:t>
                      </w:r>
                      <w:r w:rsidR="00631CFB" w:rsidRPr="00057CEA">
                        <w:rPr>
                          <w:rFonts w:ascii="Arial" w:hAnsi="Arial" w:cs="Arial"/>
                          <w:sz w:val="20"/>
                          <w:szCs w:val="20"/>
                        </w:rPr>
                        <w:t xml:space="preserve"> </w:t>
                      </w:r>
                      <w:r w:rsidR="00631CFB">
                        <w:rPr>
                          <w:rFonts w:ascii="Arial" w:hAnsi="Arial" w:cs="Arial"/>
                          <w:sz w:val="20"/>
                          <w:szCs w:val="20"/>
                        </w:rPr>
                        <w:t>are</w:t>
                      </w:r>
                      <w:r w:rsidR="00631CFB" w:rsidRPr="00057CEA">
                        <w:rPr>
                          <w:rFonts w:ascii="Arial" w:hAnsi="Arial" w:cs="Arial"/>
                          <w:sz w:val="20"/>
                          <w:szCs w:val="20"/>
                        </w:rPr>
                        <w:t xml:space="preserve"> one component of the substance use disorder treatment and recovery continuum of care. While recovery </w:t>
                      </w:r>
                      <w:r w:rsidR="00631CFB">
                        <w:rPr>
                          <w:rFonts w:ascii="Arial" w:hAnsi="Arial" w:cs="Arial"/>
                          <w:sz w:val="20"/>
                          <w:szCs w:val="20"/>
                        </w:rPr>
                        <w:t>houses/</w:t>
                      </w:r>
                      <w:r w:rsidR="00631CFB" w:rsidRPr="00057CEA">
                        <w:rPr>
                          <w:rFonts w:ascii="Arial" w:hAnsi="Arial" w:cs="Arial"/>
                          <w:sz w:val="20"/>
                          <w:szCs w:val="20"/>
                        </w:rPr>
                        <w:t>residences vary widely in structure, all are centered on peer support and a connection to services that promote long-term recovery. Individuals in recovery should have a meaningful role in developing the service array used in their recovery plan. Recovery houses</w:t>
                      </w:r>
                      <w:r w:rsidR="00631CFB">
                        <w:rPr>
                          <w:rFonts w:ascii="Arial" w:hAnsi="Arial" w:cs="Arial"/>
                          <w:sz w:val="20"/>
                          <w:szCs w:val="20"/>
                        </w:rPr>
                        <w:t>/residences</w:t>
                      </w:r>
                      <w:r w:rsidR="00631CFB" w:rsidRPr="00057CEA">
                        <w:rPr>
                          <w:rFonts w:ascii="Arial" w:hAnsi="Arial" w:cs="Arial"/>
                          <w:sz w:val="20"/>
                          <w:szCs w:val="20"/>
                        </w:rPr>
                        <w:t xml:space="preserve"> are safe, healthy, family-like</w:t>
                      </w:r>
                      <w:r w:rsidR="00631CFB">
                        <w:rPr>
                          <w:rFonts w:ascii="Arial" w:hAnsi="Arial" w:cs="Arial"/>
                          <w:sz w:val="20"/>
                          <w:szCs w:val="20"/>
                        </w:rPr>
                        <w:t>, and</w:t>
                      </w:r>
                      <w:r w:rsidR="00631CFB" w:rsidRPr="00057CEA">
                        <w:rPr>
                          <w:rFonts w:ascii="Arial" w:hAnsi="Arial" w:cs="Arial"/>
                          <w:sz w:val="20"/>
                          <w:szCs w:val="20"/>
                        </w:rPr>
                        <w:t xml:space="preserve"> substance-free living environments that support individuals in recovery from </w:t>
                      </w:r>
                      <w:r w:rsidR="00631CFB">
                        <w:rPr>
                          <w:rFonts w:ascii="Arial" w:hAnsi="Arial" w:cs="Arial"/>
                          <w:sz w:val="20"/>
                          <w:szCs w:val="20"/>
                        </w:rPr>
                        <w:t>substance use</w:t>
                      </w:r>
                      <w:r w:rsidR="00631CFB" w:rsidRPr="00057CEA">
                        <w:rPr>
                          <w:rFonts w:ascii="Arial" w:hAnsi="Arial" w:cs="Arial"/>
                          <w:sz w:val="20"/>
                          <w:szCs w:val="20"/>
                        </w:rPr>
                        <w:t xml:space="preserve">. Substance-free does not prohibit prescribed medications taken as directed by a licensed practitioner, such as pharmacotherapies specifically approved by the </w:t>
                      </w:r>
                      <w:r w:rsidR="00631CFB">
                        <w:rPr>
                          <w:rFonts w:ascii="Arial" w:hAnsi="Arial" w:cs="Arial"/>
                          <w:sz w:val="20"/>
                          <w:szCs w:val="20"/>
                        </w:rPr>
                        <w:t>Food and Drug Administration</w:t>
                      </w:r>
                      <w:r w:rsidR="00631CFB" w:rsidRPr="00057CEA">
                        <w:rPr>
                          <w:rFonts w:ascii="Arial" w:hAnsi="Arial" w:cs="Arial"/>
                          <w:sz w:val="20"/>
                          <w:szCs w:val="20"/>
                        </w:rPr>
                        <w:t xml:space="preserve"> for treatment of opioid use disorder as well as other medications with </w:t>
                      </w:r>
                      <w:r w:rsidR="00631CFB">
                        <w:rPr>
                          <w:rFonts w:ascii="Arial" w:hAnsi="Arial" w:cs="Arial"/>
                          <w:sz w:val="20"/>
                          <w:szCs w:val="20"/>
                        </w:rPr>
                        <w:t xml:space="preserve">Food and Drug Administration </w:t>
                      </w:r>
                      <w:r w:rsidR="00631CFB" w:rsidRPr="00057CEA">
                        <w:rPr>
                          <w:rFonts w:ascii="Arial" w:hAnsi="Arial" w:cs="Arial"/>
                          <w:sz w:val="20"/>
                          <w:szCs w:val="20"/>
                        </w:rPr>
                        <w:t>approved indications for the treatment of co-occurring health conditions.</w:t>
                      </w:r>
                    </w:p>
                    <w:p w14:paraId="673DE6EF" w14:textId="5912CF8F" w:rsidR="00F23E50" w:rsidRDefault="00F23E50" w:rsidP="00F23E50">
                      <w:pPr>
                        <w:spacing w:after="0"/>
                      </w:pPr>
                    </w:p>
                  </w:txbxContent>
                </v:textbox>
                <w10:wrap type="square" anchorx="margin"/>
              </v:shape>
            </w:pict>
          </mc:Fallback>
        </mc:AlternateContent>
      </w:r>
    </w:p>
    <w:p w14:paraId="0020E3FD" w14:textId="77777777" w:rsidR="00631CFB" w:rsidRDefault="00631CFB" w:rsidP="005974B9">
      <w:pPr>
        <w:pStyle w:val="ListParagraph"/>
        <w:ind w:left="720"/>
        <w:contextualSpacing/>
        <w:rPr>
          <w:rFonts w:ascii="Arial" w:hAnsi="Arial" w:cs="Arial"/>
          <w:sz w:val="20"/>
          <w:szCs w:val="20"/>
        </w:rPr>
      </w:pPr>
      <w:r>
        <w:rPr>
          <w:rFonts w:ascii="Arial" w:hAnsi="Arial" w:cs="Arial"/>
          <w:sz w:val="20"/>
          <w:szCs w:val="20"/>
        </w:rPr>
        <w:t>Provide the following information:</w:t>
      </w:r>
    </w:p>
    <w:p w14:paraId="08D7058E" w14:textId="77777777" w:rsidR="00631CFB" w:rsidRPr="00830B93" w:rsidRDefault="00631CFB" w:rsidP="005974B9">
      <w:pPr>
        <w:pStyle w:val="ListParagraph"/>
        <w:numPr>
          <w:ilvl w:val="0"/>
          <w:numId w:val="13"/>
        </w:numPr>
        <w:contextualSpacing/>
        <w:rPr>
          <w:rFonts w:ascii="Arial" w:hAnsi="Arial" w:cs="Arial"/>
          <w:sz w:val="20"/>
          <w:szCs w:val="20"/>
        </w:rPr>
      </w:pPr>
      <w:r>
        <w:rPr>
          <w:rFonts w:ascii="Arial" w:hAnsi="Arial" w:cs="Arial"/>
          <w:sz w:val="20"/>
          <w:szCs w:val="20"/>
        </w:rPr>
        <w:t>If applicable, d</w:t>
      </w:r>
      <w:r w:rsidRPr="00830B93">
        <w:rPr>
          <w:rFonts w:ascii="Arial" w:hAnsi="Arial" w:cs="Arial"/>
          <w:sz w:val="20"/>
          <w:szCs w:val="20"/>
        </w:rPr>
        <w:t>escribe the mechanism(s) in place to assure that a recovery housing facility</w:t>
      </w:r>
      <w:r>
        <w:rPr>
          <w:rFonts w:ascii="Arial" w:hAnsi="Arial" w:cs="Arial"/>
          <w:sz w:val="20"/>
          <w:szCs w:val="20"/>
        </w:rPr>
        <w:t>/residence</w:t>
      </w:r>
      <w:r w:rsidRPr="00830B93">
        <w:rPr>
          <w:rFonts w:ascii="Arial" w:hAnsi="Arial" w:cs="Arial"/>
          <w:sz w:val="20"/>
          <w:szCs w:val="20"/>
        </w:rPr>
        <w:t xml:space="preserve"> supports and provides </w:t>
      </w:r>
      <w:r>
        <w:rPr>
          <w:rFonts w:ascii="Arial" w:hAnsi="Arial" w:cs="Arial"/>
          <w:sz w:val="20"/>
          <w:szCs w:val="20"/>
        </w:rPr>
        <w:t>individuals</w:t>
      </w:r>
      <w:r w:rsidRPr="00830B93">
        <w:rPr>
          <w:rFonts w:ascii="Arial" w:hAnsi="Arial" w:cs="Arial"/>
          <w:sz w:val="20"/>
          <w:szCs w:val="20"/>
        </w:rPr>
        <w:t xml:space="preserve"> access to evidence-based treatment, including all forms of </w:t>
      </w:r>
      <w:r>
        <w:rPr>
          <w:rFonts w:ascii="Arial" w:hAnsi="Arial" w:cs="Arial"/>
          <w:sz w:val="20"/>
          <w:szCs w:val="20"/>
        </w:rPr>
        <w:t>medications for opioid use disorder</w:t>
      </w:r>
      <w:r w:rsidRPr="00830B93">
        <w:rPr>
          <w:rFonts w:ascii="Arial" w:hAnsi="Arial" w:cs="Arial"/>
          <w:sz w:val="20"/>
          <w:szCs w:val="20"/>
        </w:rPr>
        <w:t>, in a safe and appropriate setting.</w:t>
      </w:r>
    </w:p>
    <w:p w14:paraId="3BFCC53F" w14:textId="77777777" w:rsidR="00631CFB" w:rsidRPr="00830B93" w:rsidRDefault="00631CFB" w:rsidP="005974B9">
      <w:pPr>
        <w:pStyle w:val="ListParagraph"/>
        <w:numPr>
          <w:ilvl w:val="0"/>
          <w:numId w:val="13"/>
        </w:numPr>
        <w:contextualSpacing/>
        <w:rPr>
          <w:rFonts w:ascii="Arial" w:hAnsi="Arial" w:cs="Arial"/>
          <w:sz w:val="20"/>
          <w:szCs w:val="20"/>
        </w:rPr>
      </w:pPr>
      <w:r>
        <w:rPr>
          <w:rFonts w:ascii="Arial" w:hAnsi="Arial" w:cs="Arial"/>
          <w:sz w:val="20"/>
          <w:szCs w:val="20"/>
        </w:rPr>
        <w:t>If applicable, d</w:t>
      </w:r>
      <w:r w:rsidRPr="00830B93">
        <w:rPr>
          <w:rFonts w:ascii="Arial" w:hAnsi="Arial" w:cs="Arial"/>
          <w:sz w:val="20"/>
          <w:szCs w:val="20"/>
        </w:rPr>
        <w:t>escribe how recovery hous</w:t>
      </w:r>
      <w:r>
        <w:rPr>
          <w:rFonts w:ascii="Arial" w:hAnsi="Arial" w:cs="Arial"/>
          <w:sz w:val="20"/>
          <w:szCs w:val="20"/>
        </w:rPr>
        <w:t>es/residences</w:t>
      </w:r>
      <w:r w:rsidRPr="00830B93">
        <w:rPr>
          <w:rFonts w:ascii="Arial" w:hAnsi="Arial" w:cs="Arial"/>
          <w:sz w:val="20"/>
          <w:szCs w:val="20"/>
        </w:rPr>
        <w:t xml:space="preserve"> supported under this grant is an appropriate and legitimate facility (</w:t>
      </w:r>
      <w:r>
        <w:rPr>
          <w:rFonts w:ascii="Arial" w:hAnsi="Arial" w:cs="Arial"/>
          <w:sz w:val="20"/>
          <w:szCs w:val="20"/>
        </w:rPr>
        <w:t>example:</w:t>
      </w:r>
      <w:r w:rsidRPr="00830B93">
        <w:rPr>
          <w:rFonts w:ascii="Arial" w:hAnsi="Arial" w:cs="Arial"/>
          <w:sz w:val="20"/>
          <w:szCs w:val="20"/>
        </w:rPr>
        <w:t xml:space="preserve"> state, or other credentialing or certification or an established or recognized model). </w:t>
      </w:r>
    </w:p>
    <w:p w14:paraId="6B27CDA1" w14:textId="77777777" w:rsidR="00631CFB" w:rsidRPr="00830B93" w:rsidRDefault="00631CFB" w:rsidP="00631CFB">
      <w:pPr>
        <w:pStyle w:val="ListParagraph"/>
        <w:numPr>
          <w:ilvl w:val="0"/>
          <w:numId w:val="13"/>
        </w:numPr>
        <w:contextualSpacing/>
        <w:rPr>
          <w:rFonts w:ascii="Arial" w:hAnsi="Arial" w:cs="Arial"/>
          <w:sz w:val="20"/>
          <w:szCs w:val="20"/>
        </w:rPr>
      </w:pPr>
      <w:r>
        <w:rPr>
          <w:rFonts w:ascii="Arial" w:hAnsi="Arial" w:cs="Arial"/>
          <w:sz w:val="20"/>
          <w:szCs w:val="20"/>
        </w:rPr>
        <w:t>If applicable, d</w:t>
      </w:r>
      <w:r w:rsidRPr="00830B93">
        <w:rPr>
          <w:rFonts w:ascii="Arial" w:hAnsi="Arial" w:cs="Arial"/>
          <w:sz w:val="20"/>
          <w:szCs w:val="20"/>
        </w:rPr>
        <w:t>escribe how the recovery hous</w:t>
      </w:r>
      <w:r>
        <w:rPr>
          <w:rFonts w:ascii="Arial" w:hAnsi="Arial" w:cs="Arial"/>
          <w:sz w:val="20"/>
          <w:szCs w:val="20"/>
        </w:rPr>
        <w:t>es/residences</w:t>
      </w:r>
      <w:r w:rsidRPr="00830B93">
        <w:rPr>
          <w:rFonts w:ascii="Arial" w:hAnsi="Arial" w:cs="Arial"/>
          <w:sz w:val="20"/>
          <w:szCs w:val="20"/>
        </w:rPr>
        <w:t xml:space="preserve"> supported under this grant will be compliant with </w:t>
      </w:r>
      <w:hyperlink r:id="rId12" w:history="1">
        <w:r w:rsidRPr="00830B93">
          <w:rPr>
            <w:rStyle w:val="Hyperlink"/>
            <w:rFonts w:ascii="Arial" w:hAnsi="Arial" w:cs="Arial"/>
            <w:sz w:val="20"/>
            <w:szCs w:val="20"/>
            <w:shd w:val="clear" w:color="auto" w:fill="FFFFFF"/>
          </w:rPr>
          <w:t>Wis. Stat. § 46.234</w:t>
        </w:r>
      </w:hyperlink>
      <w:r w:rsidRPr="002C6FCB">
        <w:rPr>
          <w:rStyle w:val="Hyperlink"/>
          <w:rFonts w:ascii="Arial" w:hAnsi="Arial" w:cs="Arial"/>
          <w:sz w:val="20"/>
          <w:szCs w:val="20"/>
          <w:u w:val="none"/>
          <w:shd w:val="clear" w:color="auto" w:fill="FFFFFF"/>
        </w:rPr>
        <w:t xml:space="preserve"> </w:t>
      </w:r>
      <w:r w:rsidRPr="00830B93">
        <w:rPr>
          <w:rFonts w:ascii="Arial" w:hAnsi="Arial" w:cs="Arial"/>
          <w:sz w:val="20"/>
          <w:szCs w:val="20"/>
        </w:rPr>
        <w:t>as a registered facility.</w:t>
      </w:r>
    </w:p>
    <w:tbl>
      <w:tblPr>
        <w:tblStyle w:val="TableGrid"/>
        <w:tblW w:w="10530" w:type="dxa"/>
        <w:tblInd w:w="355" w:type="dxa"/>
        <w:tblLook w:val="04A0" w:firstRow="1" w:lastRow="0" w:firstColumn="1" w:lastColumn="0" w:noHBand="0" w:noVBand="1"/>
      </w:tblPr>
      <w:tblGrid>
        <w:gridCol w:w="10530"/>
      </w:tblGrid>
      <w:tr w:rsidR="005B5FE1" w:rsidRPr="00830B93" w14:paraId="34234682" w14:textId="77777777" w:rsidTr="00B556B2">
        <w:tc>
          <w:tcPr>
            <w:tcW w:w="10530" w:type="dxa"/>
          </w:tcPr>
          <w:p w14:paraId="77B69FF4" w14:textId="77777777" w:rsidR="005B5FE1" w:rsidRPr="005A7E2D" w:rsidRDefault="00486D13" w:rsidP="00B556B2">
            <w:pPr>
              <w:spacing w:after="0"/>
              <w:rPr>
                <w:rFonts w:ascii="Times New Roman" w:hAnsi="Times New Roman" w:cs="Times New Roman"/>
                <w:sz w:val="20"/>
              </w:rPr>
            </w:pPr>
            <w:r w:rsidRPr="005A7E2D">
              <w:rPr>
                <w:rFonts w:ascii="Times New Roman" w:hAnsi="Times New Roman" w:cs="Times New Roman"/>
              </w:rPr>
              <w:fldChar w:fldCharType="begin">
                <w:ffData>
                  <w:name w:val="Text19"/>
                  <w:enabled/>
                  <w:calcOnExit w:val="0"/>
                  <w:textInput/>
                </w:ffData>
              </w:fldChar>
            </w:r>
            <w:bookmarkStart w:id="18" w:name="Text19"/>
            <w:r w:rsidRPr="005A7E2D">
              <w:rPr>
                <w:rFonts w:ascii="Times New Roman" w:hAnsi="Times New Roman" w:cs="Times New Roman"/>
                <w:szCs w:val="22"/>
              </w:rPr>
              <w:instrText xml:space="preserve"> FORMTEXT </w:instrText>
            </w:r>
            <w:r w:rsidRPr="005A7E2D">
              <w:rPr>
                <w:rFonts w:ascii="Times New Roman" w:hAnsi="Times New Roman" w:cs="Times New Roman"/>
              </w:rPr>
            </w:r>
            <w:r w:rsidRPr="005A7E2D">
              <w:rPr>
                <w:rFonts w:ascii="Times New Roman" w:hAnsi="Times New Roman" w:cs="Times New Roman"/>
              </w:rPr>
              <w:fldChar w:fldCharType="separate"/>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noProof/>
                <w:szCs w:val="22"/>
              </w:rPr>
              <w:t> </w:t>
            </w:r>
            <w:r w:rsidRPr="005A7E2D">
              <w:rPr>
                <w:rFonts w:ascii="Times New Roman" w:hAnsi="Times New Roman" w:cs="Times New Roman"/>
              </w:rPr>
              <w:fldChar w:fldCharType="end"/>
            </w:r>
            <w:bookmarkEnd w:id="18"/>
          </w:p>
        </w:tc>
      </w:tr>
    </w:tbl>
    <w:p w14:paraId="4854AE3C" w14:textId="77777777" w:rsidR="005B5FE1" w:rsidRPr="00830B93" w:rsidRDefault="005B5FE1" w:rsidP="005B5FE1">
      <w:pPr>
        <w:spacing w:after="0"/>
        <w:rPr>
          <w:rFonts w:ascii="Arial" w:hAnsi="Arial" w:cs="Arial"/>
          <w:sz w:val="20"/>
          <w:szCs w:val="20"/>
        </w:rPr>
      </w:pPr>
    </w:p>
    <w:p w14:paraId="31E316C3" w14:textId="77777777" w:rsidR="00631CFB" w:rsidRPr="00B4282D" w:rsidRDefault="00631CFB" w:rsidP="00631CFB">
      <w:pPr>
        <w:pStyle w:val="ListParagraph"/>
        <w:numPr>
          <w:ilvl w:val="0"/>
          <w:numId w:val="11"/>
        </w:numPr>
        <w:spacing w:after="0"/>
        <w:rPr>
          <w:rFonts w:ascii="Arial" w:hAnsi="Arial" w:cs="Arial"/>
          <w:sz w:val="20"/>
          <w:szCs w:val="20"/>
        </w:rPr>
      </w:pPr>
      <w:r>
        <w:rPr>
          <w:rFonts w:ascii="Arial" w:hAnsi="Arial" w:cs="Arial"/>
          <w:sz w:val="20"/>
          <w:szCs w:val="20"/>
        </w:rPr>
        <w:t xml:space="preserve">If applicable, describe how your program uses and plans to educate the community on harm reduction and distribute tools such as naloxone and fentanyl test strips. </w:t>
      </w:r>
    </w:p>
    <w:tbl>
      <w:tblPr>
        <w:tblStyle w:val="TableGrid"/>
        <w:tblW w:w="10530" w:type="dxa"/>
        <w:tblInd w:w="355" w:type="dxa"/>
        <w:tblLook w:val="04A0" w:firstRow="1" w:lastRow="0" w:firstColumn="1" w:lastColumn="0" w:noHBand="0" w:noVBand="1"/>
      </w:tblPr>
      <w:tblGrid>
        <w:gridCol w:w="10530"/>
      </w:tblGrid>
      <w:tr w:rsidR="005B5FE1" w:rsidRPr="00830B93" w14:paraId="765E3AA3" w14:textId="77777777" w:rsidTr="00B556B2">
        <w:tc>
          <w:tcPr>
            <w:tcW w:w="10530" w:type="dxa"/>
          </w:tcPr>
          <w:p w14:paraId="529D449E" w14:textId="77777777" w:rsidR="002E32E5" w:rsidRPr="002E32E5" w:rsidRDefault="00012EC5" w:rsidP="00B556B2">
            <w:pPr>
              <w:spacing w:after="0"/>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w:instrText>
            </w:r>
            <w:bookmarkStart w:id="19" w:name="Text20"/>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bl>
    <w:p w14:paraId="0996EC7B" w14:textId="77777777" w:rsidR="002E32E5" w:rsidRPr="004139B4" w:rsidRDefault="002E32E5" w:rsidP="002E32E5">
      <w:pPr>
        <w:spacing w:after="0"/>
        <w:rPr>
          <w:rFonts w:ascii="Arial" w:hAnsi="Arial" w:cs="Arial"/>
          <w:sz w:val="2"/>
          <w:szCs w:val="2"/>
        </w:rPr>
      </w:pPr>
    </w:p>
    <w:sectPr w:rsidR="002E32E5" w:rsidRPr="004139B4" w:rsidSect="004139B4">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F3D" w14:textId="77777777" w:rsidR="004139B4" w:rsidRDefault="004139B4" w:rsidP="004139B4">
      <w:pPr>
        <w:spacing w:after="0" w:line="240" w:lineRule="auto"/>
      </w:pPr>
      <w:r>
        <w:separator/>
      </w:r>
    </w:p>
  </w:endnote>
  <w:endnote w:type="continuationSeparator" w:id="0">
    <w:p w14:paraId="329542F1" w14:textId="77777777" w:rsidR="004139B4" w:rsidRDefault="004139B4" w:rsidP="0041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86AD" w14:textId="77777777" w:rsidR="004139B4" w:rsidRDefault="004139B4" w:rsidP="004139B4">
      <w:pPr>
        <w:spacing w:after="0" w:line="240" w:lineRule="auto"/>
      </w:pPr>
      <w:r>
        <w:separator/>
      </w:r>
    </w:p>
  </w:footnote>
  <w:footnote w:type="continuationSeparator" w:id="0">
    <w:p w14:paraId="42E40C04" w14:textId="77777777" w:rsidR="004139B4" w:rsidRDefault="004139B4" w:rsidP="0041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8CDB" w14:textId="672D5543" w:rsidR="004139B4" w:rsidRPr="004139B4" w:rsidRDefault="004139B4" w:rsidP="004139B4">
    <w:pPr>
      <w:pStyle w:val="Header"/>
      <w:spacing w:after="60"/>
      <w:rPr>
        <w:rFonts w:ascii="Arial" w:hAnsi="Arial" w:cs="Arial"/>
        <w:sz w:val="18"/>
        <w:szCs w:val="18"/>
      </w:rPr>
    </w:pPr>
    <w:r w:rsidRPr="006F3250">
      <w:rPr>
        <w:rFonts w:ascii="Arial" w:hAnsi="Arial" w:cs="Arial"/>
        <w:sz w:val="18"/>
        <w:szCs w:val="18"/>
      </w:rPr>
      <w:t>F-</w:t>
    </w:r>
    <w:r>
      <w:rPr>
        <w:rFonts w:ascii="Arial" w:hAnsi="Arial" w:cs="Arial"/>
        <w:sz w:val="18"/>
        <w:szCs w:val="18"/>
      </w:rPr>
      <w:t>02122</w:t>
    </w:r>
    <w:r w:rsidRPr="006F3250">
      <w:rPr>
        <w:rFonts w:ascii="Arial" w:hAnsi="Arial" w:cs="Arial"/>
        <w:sz w:val="18"/>
        <w:szCs w:val="18"/>
      </w:rPr>
      <w:t xml:space="preserve"> (0</w:t>
    </w:r>
    <w:r>
      <w:rPr>
        <w:rFonts w:ascii="Arial" w:hAnsi="Arial" w:cs="Arial"/>
        <w:sz w:val="18"/>
        <w:szCs w:val="18"/>
      </w:rPr>
      <w:t>8</w:t>
    </w:r>
    <w:r w:rsidRPr="006F3250">
      <w:rPr>
        <w:rFonts w:ascii="Arial" w:hAnsi="Arial" w:cs="Arial"/>
        <w:sz w:val="18"/>
        <w:szCs w:val="18"/>
      </w:rPr>
      <w:t>/2023)</w:t>
    </w:r>
    <w:r w:rsidRPr="004139B4">
      <w:rPr>
        <w:rFonts w:ascii="Arial" w:hAnsi="Arial" w:cs="Arial"/>
        <w:sz w:val="18"/>
        <w:szCs w:val="18"/>
      </w:rPr>
      <w:t xml:space="preserve"> </w:t>
    </w:r>
    <w:r w:rsidRPr="006F3250">
      <w:rPr>
        <w:rFonts w:ascii="Arial" w:hAnsi="Arial" w:cs="Arial"/>
        <w:sz w:val="18"/>
        <w:szCs w:val="18"/>
      </w:rPr>
      <w:ptab w:relativeTo="margin" w:alignment="center" w:leader="none"/>
    </w:r>
    <w:r w:rsidRPr="006F3250">
      <w:rPr>
        <w:rFonts w:ascii="Arial" w:hAnsi="Arial" w:cs="Arial"/>
        <w:sz w:val="18"/>
        <w:szCs w:val="18"/>
      </w:rPr>
      <w:ptab w:relativeTo="margin" w:alignment="right" w:leader="none"/>
    </w:r>
    <w:r w:rsidRPr="006F3250">
      <w:rPr>
        <w:rFonts w:ascii="Arial" w:hAnsi="Arial" w:cs="Arial"/>
        <w:sz w:val="18"/>
        <w:szCs w:val="18"/>
      </w:rPr>
      <w:t xml:space="preserve">Page </w:t>
    </w:r>
    <w:r w:rsidRPr="006F3250">
      <w:rPr>
        <w:rFonts w:ascii="Arial" w:hAnsi="Arial" w:cs="Arial"/>
        <w:sz w:val="18"/>
        <w:szCs w:val="18"/>
      </w:rPr>
      <w:fldChar w:fldCharType="begin"/>
    </w:r>
    <w:r w:rsidRPr="006F3250">
      <w:rPr>
        <w:rFonts w:ascii="Arial" w:hAnsi="Arial" w:cs="Arial"/>
        <w:sz w:val="18"/>
        <w:szCs w:val="18"/>
      </w:rPr>
      <w:instrText xml:space="preserve"> PAGE  \* Arabic  \* MERGEFORMAT </w:instrText>
    </w:r>
    <w:r w:rsidRPr="006F3250">
      <w:rPr>
        <w:rFonts w:ascii="Arial" w:hAnsi="Arial" w:cs="Arial"/>
        <w:sz w:val="18"/>
        <w:szCs w:val="18"/>
      </w:rPr>
      <w:fldChar w:fldCharType="separate"/>
    </w:r>
    <w:r>
      <w:rPr>
        <w:rFonts w:ascii="Arial" w:hAnsi="Arial" w:cs="Arial"/>
        <w:sz w:val="18"/>
        <w:szCs w:val="18"/>
      </w:rPr>
      <w:t>2</w:t>
    </w:r>
    <w:r w:rsidRPr="006F3250">
      <w:rPr>
        <w:rFonts w:ascii="Arial" w:hAnsi="Arial" w:cs="Arial"/>
        <w:sz w:val="18"/>
        <w:szCs w:val="18"/>
      </w:rPr>
      <w:fldChar w:fldCharType="end"/>
    </w:r>
    <w:r w:rsidRPr="006F3250">
      <w:rPr>
        <w:rFonts w:ascii="Arial" w:hAnsi="Arial" w:cs="Arial"/>
        <w:sz w:val="18"/>
        <w:szCs w:val="18"/>
      </w:rPr>
      <w:t xml:space="preserve"> of </w:t>
    </w:r>
    <w:r w:rsidRPr="006F3250">
      <w:rPr>
        <w:rFonts w:ascii="Arial" w:hAnsi="Arial" w:cs="Arial"/>
        <w:sz w:val="18"/>
        <w:szCs w:val="18"/>
      </w:rPr>
      <w:fldChar w:fldCharType="begin"/>
    </w:r>
    <w:r w:rsidRPr="006F3250">
      <w:rPr>
        <w:rFonts w:ascii="Arial" w:hAnsi="Arial" w:cs="Arial"/>
        <w:sz w:val="18"/>
        <w:szCs w:val="18"/>
      </w:rPr>
      <w:instrText xml:space="preserve"> NUMPAGES  \* Arabic  \* MERGEFORMAT </w:instrText>
    </w:r>
    <w:r w:rsidRPr="006F3250">
      <w:rPr>
        <w:rFonts w:ascii="Arial" w:hAnsi="Arial" w:cs="Arial"/>
        <w:sz w:val="18"/>
        <w:szCs w:val="18"/>
      </w:rPr>
      <w:fldChar w:fldCharType="separate"/>
    </w:r>
    <w:r>
      <w:rPr>
        <w:rFonts w:ascii="Arial" w:hAnsi="Arial" w:cs="Arial"/>
        <w:sz w:val="18"/>
        <w:szCs w:val="18"/>
      </w:rPr>
      <w:t>2</w:t>
    </w:r>
    <w:r w:rsidRPr="006F3250">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5F"/>
    <w:multiLevelType w:val="multilevel"/>
    <w:tmpl w:val="B06E2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0F6845"/>
    <w:multiLevelType w:val="hybridMultilevel"/>
    <w:tmpl w:val="ACDAC23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772F"/>
    <w:multiLevelType w:val="hybridMultilevel"/>
    <w:tmpl w:val="0E7AAA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F7814"/>
    <w:multiLevelType w:val="multilevel"/>
    <w:tmpl w:val="DC4CD2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B240030"/>
    <w:multiLevelType w:val="hybridMultilevel"/>
    <w:tmpl w:val="9DA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24B68"/>
    <w:multiLevelType w:val="hybridMultilevel"/>
    <w:tmpl w:val="40EC0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41714B"/>
    <w:multiLevelType w:val="hybridMultilevel"/>
    <w:tmpl w:val="32A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516090">
    <w:abstractNumId w:val="3"/>
  </w:num>
  <w:num w:numId="2" w16cid:durableId="666396340">
    <w:abstractNumId w:val="3"/>
  </w:num>
  <w:num w:numId="3" w16cid:durableId="1806656046">
    <w:abstractNumId w:val="3"/>
  </w:num>
  <w:num w:numId="4" w16cid:durableId="1284077300">
    <w:abstractNumId w:val="3"/>
  </w:num>
  <w:num w:numId="5" w16cid:durableId="2124297656">
    <w:abstractNumId w:val="3"/>
  </w:num>
  <w:num w:numId="6" w16cid:durableId="1915387197">
    <w:abstractNumId w:val="3"/>
  </w:num>
  <w:num w:numId="7" w16cid:durableId="326830509">
    <w:abstractNumId w:val="3"/>
  </w:num>
  <w:num w:numId="8" w16cid:durableId="2051298422">
    <w:abstractNumId w:val="3"/>
  </w:num>
  <w:num w:numId="9" w16cid:durableId="2060669687">
    <w:abstractNumId w:val="3"/>
  </w:num>
  <w:num w:numId="10" w16cid:durableId="473641154">
    <w:abstractNumId w:val="0"/>
  </w:num>
  <w:num w:numId="11" w16cid:durableId="657072401">
    <w:abstractNumId w:val="2"/>
  </w:num>
  <w:num w:numId="12" w16cid:durableId="933978428">
    <w:abstractNumId w:val="4"/>
  </w:num>
  <w:num w:numId="13" w16cid:durableId="431898362">
    <w:abstractNumId w:val="6"/>
  </w:num>
  <w:num w:numId="14" w16cid:durableId="1220704129">
    <w:abstractNumId w:val="5"/>
  </w:num>
  <w:num w:numId="15" w16cid:durableId="23783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0LoBqA/mgToTQ25QtATozMJJprVjOk/qDa1duR6EkGbDn4orqSWwBqjVK7+5cRw7nVEwy9Tks7HpHvf5vxZog==" w:salt="lvXfUJ6mGX3Ulr3xnPg2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4D"/>
    <w:rsid w:val="00012EC5"/>
    <w:rsid w:val="000351F4"/>
    <w:rsid w:val="00043103"/>
    <w:rsid w:val="00057CEA"/>
    <w:rsid w:val="000B2C96"/>
    <w:rsid w:val="000F6839"/>
    <w:rsid w:val="001361FE"/>
    <w:rsid w:val="00160503"/>
    <w:rsid w:val="00196001"/>
    <w:rsid w:val="001A73F3"/>
    <w:rsid w:val="00204619"/>
    <w:rsid w:val="002148A5"/>
    <w:rsid w:val="00290D3F"/>
    <w:rsid w:val="002B227F"/>
    <w:rsid w:val="002B7782"/>
    <w:rsid w:val="002C7B43"/>
    <w:rsid w:val="002E32E5"/>
    <w:rsid w:val="00313C6C"/>
    <w:rsid w:val="003162B4"/>
    <w:rsid w:val="003229AA"/>
    <w:rsid w:val="00361C61"/>
    <w:rsid w:val="0039626F"/>
    <w:rsid w:val="003B0ED6"/>
    <w:rsid w:val="003B6370"/>
    <w:rsid w:val="004139B4"/>
    <w:rsid w:val="004301BA"/>
    <w:rsid w:val="00441E32"/>
    <w:rsid w:val="00466E27"/>
    <w:rsid w:val="00486D13"/>
    <w:rsid w:val="004B034E"/>
    <w:rsid w:val="004C5812"/>
    <w:rsid w:val="00533510"/>
    <w:rsid w:val="005749B5"/>
    <w:rsid w:val="005973FE"/>
    <w:rsid w:val="005A09AE"/>
    <w:rsid w:val="005A7E2D"/>
    <w:rsid w:val="005B5FE1"/>
    <w:rsid w:val="005E1FC8"/>
    <w:rsid w:val="00631CFB"/>
    <w:rsid w:val="006426A7"/>
    <w:rsid w:val="006A5E37"/>
    <w:rsid w:val="006B6189"/>
    <w:rsid w:val="006C2508"/>
    <w:rsid w:val="006D4C9B"/>
    <w:rsid w:val="006F3CDA"/>
    <w:rsid w:val="007106DB"/>
    <w:rsid w:val="00746D7E"/>
    <w:rsid w:val="007D770E"/>
    <w:rsid w:val="00830B93"/>
    <w:rsid w:val="00850FC9"/>
    <w:rsid w:val="00893239"/>
    <w:rsid w:val="008937D2"/>
    <w:rsid w:val="008A4456"/>
    <w:rsid w:val="00910374"/>
    <w:rsid w:val="00921DC1"/>
    <w:rsid w:val="00990AC1"/>
    <w:rsid w:val="00A671A6"/>
    <w:rsid w:val="00A8464D"/>
    <w:rsid w:val="00AC0C8B"/>
    <w:rsid w:val="00AF6AA3"/>
    <w:rsid w:val="00B14E6B"/>
    <w:rsid w:val="00B4282D"/>
    <w:rsid w:val="00B457EE"/>
    <w:rsid w:val="00BC2074"/>
    <w:rsid w:val="00C92C91"/>
    <w:rsid w:val="00CB0A08"/>
    <w:rsid w:val="00CC72A1"/>
    <w:rsid w:val="00CE2513"/>
    <w:rsid w:val="00D803FB"/>
    <w:rsid w:val="00E05D76"/>
    <w:rsid w:val="00E26BD9"/>
    <w:rsid w:val="00E63DB8"/>
    <w:rsid w:val="00E83A0D"/>
    <w:rsid w:val="00E9124E"/>
    <w:rsid w:val="00E964ED"/>
    <w:rsid w:val="00EA247E"/>
    <w:rsid w:val="00EB7063"/>
    <w:rsid w:val="00F11875"/>
    <w:rsid w:val="00F2067B"/>
    <w:rsid w:val="00F23E50"/>
    <w:rsid w:val="00F27430"/>
    <w:rsid w:val="00F41987"/>
    <w:rsid w:val="00F7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020"/>
  <w15:chartTrackingRefBased/>
  <w15:docId w15:val="{A57004BD-D861-4703-BA7A-D6553817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DB"/>
    <w:pPr>
      <w:spacing w:after="200" w:line="276" w:lineRule="auto"/>
    </w:pPr>
  </w:style>
  <w:style w:type="paragraph" w:styleId="Heading1">
    <w:name w:val="heading 1"/>
    <w:basedOn w:val="Normal"/>
    <w:link w:val="Heading1Char"/>
    <w:autoRedefine/>
    <w:uiPriority w:val="9"/>
    <w:qFormat/>
    <w:rsid w:val="00990AC1"/>
    <w:pPr>
      <w:spacing w:before="67"/>
      <w:ind w:left="113"/>
      <w:outlineLvl w:val="0"/>
    </w:pPr>
    <w:rPr>
      <w:b/>
      <w:bCs/>
      <w:color w:val="8496B0" w:themeColor="text2" w:themeTint="99"/>
      <w:sz w:val="33"/>
      <w:szCs w:val="33"/>
    </w:rPr>
  </w:style>
  <w:style w:type="paragraph" w:styleId="Heading2">
    <w:name w:val="heading 2"/>
    <w:basedOn w:val="Normal"/>
    <w:next w:val="Normal"/>
    <w:link w:val="Heading2Char"/>
    <w:uiPriority w:val="9"/>
    <w:semiHidden/>
    <w:unhideWhenUsed/>
    <w:qFormat/>
    <w:rsid w:val="00990A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0AC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90A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0AC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0AC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0AC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0A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0A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C1"/>
    <w:rPr>
      <w:color w:val="0563C1" w:themeColor="hyperlink"/>
      <w:u w:val="single"/>
    </w:rPr>
  </w:style>
  <w:style w:type="paragraph" w:customStyle="1" w:styleId="Informal1">
    <w:name w:val="Informal1"/>
    <w:rsid w:val="00CC72A1"/>
    <w:pPr>
      <w:spacing w:before="60" w:after="60"/>
    </w:pPr>
    <w:rPr>
      <w:rFonts w:eastAsia="Times New Roman"/>
      <w:noProof/>
      <w:szCs w:val="20"/>
    </w:rPr>
  </w:style>
  <w:style w:type="character" w:customStyle="1" w:styleId="Heading1Char">
    <w:name w:val="Heading 1 Char"/>
    <w:basedOn w:val="DefaultParagraphFont"/>
    <w:link w:val="Heading1"/>
    <w:uiPriority w:val="9"/>
    <w:rsid w:val="00990AC1"/>
    <w:rPr>
      <w:rFonts w:eastAsia="Arial" w:cs="Arial"/>
      <w:b/>
      <w:bCs/>
      <w:color w:val="8496B0" w:themeColor="text2" w:themeTint="99"/>
      <w:sz w:val="33"/>
      <w:szCs w:val="33"/>
    </w:rPr>
  </w:style>
  <w:style w:type="character" w:customStyle="1" w:styleId="Heading2Char">
    <w:name w:val="Heading 2 Char"/>
    <w:basedOn w:val="DefaultParagraphFont"/>
    <w:link w:val="Heading2"/>
    <w:uiPriority w:val="9"/>
    <w:semiHidden/>
    <w:rsid w:val="00990AC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4E6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0AC1"/>
  </w:style>
  <w:style w:type="character" w:customStyle="1" w:styleId="Heading3Char">
    <w:name w:val="Heading 3 Char"/>
    <w:basedOn w:val="DefaultParagraphFont"/>
    <w:link w:val="Heading3"/>
    <w:uiPriority w:val="9"/>
    <w:semiHidden/>
    <w:rsid w:val="00990A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90AC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90AC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90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90AC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90A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0AC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semiHidden/>
    <w:unhideWhenUsed/>
    <w:rsid w:val="00990AC1"/>
    <w:pPr>
      <w:spacing w:after="100"/>
    </w:pPr>
  </w:style>
  <w:style w:type="paragraph" w:styleId="TOC2">
    <w:name w:val="toc 2"/>
    <w:basedOn w:val="Normal"/>
    <w:next w:val="Normal"/>
    <w:autoRedefine/>
    <w:uiPriority w:val="39"/>
    <w:semiHidden/>
    <w:unhideWhenUsed/>
    <w:rsid w:val="00990AC1"/>
    <w:pPr>
      <w:spacing w:after="100"/>
      <w:ind w:left="240"/>
    </w:pPr>
  </w:style>
  <w:style w:type="paragraph" w:styleId="TOC3">
    <w:name w:val="toc 3"/>
    <w:basedOn w:val="Normal"/>
    <w:next w:val="Normal"/>
    <w:autoRedefine/>
    <w:uiPriority w:val="39"/>
    <w:semiHidden/>
    <w:unhideWhenUsed/>
    <w:rsid w:val="00990AC1"/>
    <w:pPr>
      <w:spacing w:after="100"/>
      <w:ind w:left="480"/>
    </w:pPr>
  </w:style>
  <w:style w:type="paragraph" w:styleId="FootnoteText">
    <w:name w:val="footnote text"/>
    <w:basedOn w:val="Normal"/>
    <w:link w:val="FootnoteTextChar"/>
    <w:uiPriority w:val="99"/>
    <w:semiHidden/>
    <w:unhideWhenUsed/>
    <w:rsid w:val="00990AC1"/>
    <w:rPr>
      <w:sz w:val="20"/>
      <w:szCs w:val="20"/>
    </w:rPr>
  </w:style>
  <w:style w:type="character" w:customStyle="1" w:styleId="FootnoteTextChar">
    <w:name w:val="Footnote Text Char"/>
    <w:basedOn w:val="DefaultParagraphFont"/>
    <w:link w:val="FootnoteText"/>
    <w:uiPriority w:val="99"/>
    <w:semiHidden/>
    <w:rsid w:val="00990AC1"/>
    <w:rPr>
      <w:rFonts w:eastAsia="Arial" w:cs="Arial"/>
      <w:szCs w:val="20"/>
    </w:rPr>
  </w:style>
  <w:style w:type="paragraph" w:styleId="Header">
    <w:name w:val="header"/>
    <w:basedOn w:val="Normal"/>
    <w:link w:val="HeaderChar"/>
    <w:unhideWhenUsed/>
    <w:rsid w:val="00990AC1"/>
    <w:pPr>
      <w:tabs>
        <w:tab w:val="center" w:pos="4680"/>
        <w:tab w:val="right" w:pos="9360"/>
      </w:tabs>
    </w:pPr>
  </w:style>
  <w:style w:type="character" w:customStyle="1" w:styleId="HeaderChar">
    <w:name w:val="Header Char"/>
    <w:basedOn w:val="DefaultParagraphFont"/>
    <w:link w:val="Header"/>
    <w:rsid w:val="00990AC1"/>
    <w:rPr>
      <w:rFonts w:eastAsia="Arial" w:cs="Arial"/>
      <w:sz w:val="24"/>
    </w:rPr>
  </w:style>
  <w:style w:type="paragraph" w:styleId="Footer">
    <w:name w:val="footer"/>
    <w:basedOn w:val="Normal"/>
    <w:link w:val="FooterChar"/>
    <w:uiPriority w:val="99"/>
    <w:unhideWhenUsed/>
    <w:rsid w:val="00990AC1"/>
    <w:pPr>
      <w:tabs>
        <w:tab w:val="center" w:pos="4680"/>
        <w:tab w:val="right" w:pos="9360"/>
      </w:tabs>
    </w:pPr>
  </w:style>
  <w:style w:type="character" w:customStyle="1" w:styleId="FooterChar">
    <w:name w:val="Footer Char"/>
    <w:basedOn w:val="DefaultParagraphFont"/>
    <w:link w:val="Footer"/>
    <w:uiPriority w:val="99"/>
    <w:rsid w:val="00990AC1"/>
    <w:rPr>
      <w:rFonts w:eastAsia="Arial" w:cs="Arial"/>
      <w:sz w:val="24"/>
    </w:rPr>
  </w:style>
  <w:style w:type="character" w:styleId="FootnoteReference">
    <w:name w:val="footnote reference"/>
    <w:basedOn w:val="DefaultParagraphFont"/>
    <w:uiPriority w:val="99"/>
    <w:semiHidden/>
    <w:unhideWhenUsed/>
    <w:rsid w:val="00990AC1"/>
    <w:rPr>
      <w:vertAlign w:val="superscript"/>
    </w:rPr>
  </w:style>
  <w:style w:type="paragraph" w:styleId="BalloonText">
    <w:name w:val="Balloon Text"/>
    <w:basedOn w:val="Normal"/>
    <w:link w:val="BalloonTextChar"/>
    <w:uiPriority w:val="99"/>
    <w:semiHidden/>
    <w:unhideWhenUsed/>
    <w:rsid w:val="00990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C1"/>
    <w:rPr>
      <w:rFonts w:ascii="Segoe UI" w:eastAsia="Arial" w:hAnsi="Segoe UI" w:cs="Segoe UI"/>
      <w:sz w:val="18"/>
      <w:szCs w:val="18"/>
    </w:rPr>
  </w:style>
  <w:style w:type="paragraph" w:styleId="NoSpacing">
    <w:name w:val="No Spacing"/>
    <w:link w:val="NoSpacingChar"/>
    <w:uiPriority w:val="1"/>
    <w:qFormat/>
    <w:rsid w:val="00990AC1"/>
    <w:rPr>
      <w:rFonts w:eastAsiaTheme="minorEastAsia"/>
    </w:rPr>
  </w:style>
  <w:style w:type="character" w:customStyle="1" w:styleId="ListParagraphChar">
    <w:name w:val="List Paragraph Char"/>
    <w:basedOn w:val="DefaultParagraphFont"/>
    <w:link w:val="ListParagraph"/>
    <w:uiPriority w:val="34"/>
    <w:rsid w:val="00990AC1"/>
    <w:rPr>
      <w:rFonts w:eastAsia="Arial" w:cs="Arial"/>
      <w:sz w:val="24"/>
    </w:rPr>
  </w:style>
  <w:style w:type="paragraph" w:styleId="TOCHeading">
    <w:name w:val="TOC Heading"/>
    <w:basedOn w:val="Heading1"/>
    <w:next w:val="Normal"/>
    <w:uiPriority w:val="39"/>
    <w:semiHidden/>
    <w:unhideWhenUsed/>
    <w:qFormat/>
    <w:rsid w:val="00990AC1"/>
    <w:pPr>
      <w:keepNext/>
      <w:keepLines/>
      <w:spacing w:before="240"/>
      <w:ind w:left="0"/>
      <w:outlineLvl w:val="9"/>
    </w:pPr>
    <w:rPr>
      <w:rFonts w:asciiTheme="majorHAnsi" w:eastAsiaTheme="majorEastAsia" w:hAnsiTheme="majorHAnsi" w:cstheme="majorBidi"/>
      <w:b w:val="0"/>
      <w:bCs w:val="0"/>
      <w:color w:val="2F5496" w:themeColor="accent1" w:themeShade="BF"/>
      <w:sz w:val="32"/>
      <w:szCs w:val="32"/>
    </w:rPr>
  </w:style>
  <w:style w:type="paragraph" w:customStyle="1" w:styleId="TableParagraph">
    <w:name w:val="Table Paragraph"/>
    <w:basedOn w:val="Normal"/>
    <w:uiPriority w:val="1"/>
    <w:qFormat/>
    <w:rsid w:val="00990AC1"/>
  </w:style>
  <w:style w:type="paragraph" w:styleId="BodyText">
    <w:name w:val="Body Text"/>
    <w:basedOn w:val="Normal"/>
    <w:link w:val="BodyTextChar"/>
    <w:uiPriority w:val="1"/>
    <w:qFormat/>
    <w:rsid w:val="00990AC1"/>
    <w:pPr>
      <w:spacing w:before="9"/>
    </w:pPr>
    <w:rPr>
      <w:rFonts w:ascii="Gill Sans MT" w:eastAsia="Gill Sans MT" w:hAnsi="Gill Sans MT" w:cs="Gill Sans MT"/>
      <w:sz w:val="19"/>
      <w:szCs w:val="19"/>
    </w:rPr>
  </w:style>
  <w:style w:type="character" w:customStyle="1" w:styleId="BodyTextChar">
    <w:name w:val="Body Text Char"/>
    <w:basedOn w:val="DefaultParagraphFont"/>
    <w:link w:val="BodyText"/>
    <w:uiPriority w:val="1"/>
    <w:rsid w:val="00990AC1"/>
    <w:rPr>
      <w:rFonts w:ascii="Gill Sans MT" w:eastAsia="Gill Sans MT" w:hAnsi="Gill Sans MT" w:cs="Gill Sans MT"/>
      <w:sz w:val="19"/>
      <w:szCs w:val="19"/>
    </w:rPr>
  </w:style>
  <w:style w:type="character" w:customStyle="1" w:styleId="NoSpacingChar">
    <w:name w:val="No Spacing Char"/>
    <w:basedOn w:val="DefaultParagraphFont"/>
    <w:link w:val="NoSpacing"/>
    <w:uiPriority w:val="1"/>
    <w:rsid w:val="00990AC1"/>
    <w:rPr>
      <w:rFonts w:asciiTheme="minorHAnsi" w:eastAsiaTheme="minorEastAsia" w:hAnsiTheme="minorHAnsi" w:cstheme="minorBidi"/>
      <w:sz w:val="22"/>
    </w:rPr>
  </w:style>
  <w:style w:type="character" w:styleId="FollowedHyperlink">
    <w:name w:val="FollowedHyperlink"/>
    <w:basedOn w:val="DefaultParagraphFont"/>
    <w:uiPriority w:val="99"/>
    <w:semiHidden/>
    <w:unhideWhenUsed/>
    <w:rsid w:val="006A5E37"/>
    <w:rPr>
      <w:color w:val="954F72" w:themeColor="followedHyperlink"/>
      <w:u w:val="single"/>
    </w:rPr>
  </w:style>
  <w:style w:type="paragraph" w:styleId="Revision">
    <w:name w:val="Revision"/>
    <w:hidden/>
    <w:uiPriority w:val="99"/>
    <w:semiHidden/>
    <w:rsid w:val="00921DC1"/>
  </w:style>
  <w:style w:type="character" w:styleId="CommentReference">
    <w:name w:val="annotation reference"/>
    <w:basedOn w:val="DefaultParagraphFont"/>
    <w:uiPriority w:val="99"/>
    <w:semiHidden/>
    <w:unhideWhenUsed/>
    <w:rsid w:val="00921DC1"/>
    <w:rPr>
      <w:sz w:val="16"/>
      <w:szCs w:val="16"/>
    </w:rPr>
  </w:style>
  <w:style w:type="paragraph" w:styleId="CommentText">
    <w:name w:val="annotation text"/>
    <w:basedOn w:val="Normal"/>
    <w:link w:val="CommentTextChar"/>
    <w:uiPriority w:val="99"/>
    <w:semiHidden/>
    <w:unhideWhenUsed/>
    <w:rsid w:val="00921DC1"/>
    <w:pPr>
      <w:spacing w:line="240" w:lineRule="auto"/>
    </w:pPr>
    <w:rPr>
      <w:sz w:val="20"/>
      <w:szCs w:val="20"/>
    </w:rPr>
  </w:style>
  <w:style w:type="character" w:customStyle="1" w:styleId="CommentTextChar">
    <w:name w:val="Comment Text Char"/>
    <w:basedOn w:val="DefaultParagraphFont"/>
    <w:link w:val="CommentText"/>
    <w:uiPriority w:val="99"/>
    <w:semiHidden/>
    <w:rsid w:val="00921DC1"/>
    <w:rPr>
      <w:sz w:val="20"/>
      <w:szCs w:val="20"/>
    </w:rPr>
  </w:style>
  <w:style w:type="paragraph" w:styleId="CommentSubject">
    <w:name w:val="annotation subject"/>
    <w:basedOn w:val="CommentText"/>
    <w:next w:val="CommentText"/>
    <w:link w:val="CommentSubjectChar"/>
    <w:uiPriority w:val="99"/>
    <w:semiHidden/>
    <w:unhideWhenUsed/>
    <w:rsid w:val="00921DC1"/>
    <w:rPr>
      <w:b/>
      <w:bCs/>
    </w:rPr>
  </w:style>
  <w:style w:type="character" w:customStyle="1" w:styleId="CommentSubjectChar">
    <w:name w:val="Comment Subject Char"/>
    <w:basedOn w:val="CommentTextChar"/>
    <w:link w:val="CommentSubject"/>
    <w:uiPriority w:val="99"/>
    <w:semiHidden/>
    <w:rsid w:val="00921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chulKF\AppData\Local\Microsoft\Windows\INetCache\Content.Outlook\BRQ0WJDF\DHSDCTSBPTRFundingOpportunities@dhs.wiscons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statutes/statutes/46/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guide/recovresdi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guide/recovresdir.pdf" TargetMode="External"/><Relationship Id="rId4" Type="http://schemas.openxmlformats.org/officeDocument/2006/relationships/settings" Target="settings.xml"/><Relationship Id="rId9" Type="http://schemas.openxmlformats.org/officeDocument/2006/relationships/hyperlink" Target="https://www.whitehouse.gov/briefing-room/presidential-actions/2021/01/20/executive-order-advancing-racial-equity-and-support-for-underserved-communities-through-the-federal-gover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6035-F64B-4A39-A71A-66355F7E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 Cynthia M - DHS</dc:creator>
  <cp:keywords/>
  <dc:description/>
  <cp:lastModifiedBy>Barendregt, Susan E - DHS2</cp:lastModifiedBy>
  <cp:revision>3</cp:revision>
  <dcterms:created xsi:type="dcterms:W3CDTF">2023-08-16T12:38:00Z</dcterms:created>
  <dcterms:modified xsi:type="dcterms:W3CDTF">2023-08-16T12:39:00Z</dcterms:modified>
</cp:coreProperties>
</file>