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01C78C0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5E0233CB"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BF09F7" w:rsidRPr="00BF09F7">
              <w:rPr>
                <w:noProof/>
                <w:sz w:val="22"/>
              </w:rPr>
              <w:t xml:space="preserve">Alpha-2 </w:t>
            </w:r>
            <w:r w:rsidR="008207D6">
              <w:rPr>
                <w:noProof/>
                <w:sz w:val="22"/>
              </w:rPr>
              <w:t>a</w:t>
            </w:r>
            <w:r w:rsidR="00BF09F7" w:rsidRPr="00BF09F7">
              <w:rPr>
                <w:noProof/>
                <w:sz w:val="22"/>
              </w:rPr>
              <w:t xml:space="preserve">drenergic </w:t>
            </w:r>
            <w:r w:rsidR="008207D6">
              <w:rPr>
                <w:noProof/>
                <w:sz w:val="22"/>
              </w:rPr>
              <w:t>a</w:t>
            </w:r>
            <w:r w:rsidR="00BF09F7" w:rsidRPr="00BF09F7">
              <w:rPr>
                <w:noProof/>
                <w:sz w:val="22"/>
              </w:rPr>
              <w:t>gonist</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0D644D26"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BF09F7">
              <w:rPr>
                <w:noProof/>
                <w:sz w:val="22"/>
              </w:rPr>
              <w:t>Igalmi</w:t>
            </w:r>
            <w:r w:rsidR="0037561E" w:rsidRPr="0037561E">
              <w:rPr>
                <w:noProof/>
                <w:sz w:val="22"/>
              </w:rPr>
              <w:t>®</w:t>
            </w:r>
            <w:r>
              <w:rPr>
                <w:sz w:val="22"/>
              </w:rPr>
              <w:fldChar w:fldCharType="end"/>
            </w:r>
            <w:bookmarkEnd w:id="8"/>
          </w:p>
          <w:p w14:paraId="7A26C4B6" w14:textId="2F9FDEDB"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37561E">
              <w:rPr>
                <w:sz w:val="22"/>
              </w:rPr>
              <w:t>d</w:t>
            </w:r>
            <w:r w:rsidR="00BF09F7" w:rsidRPr="00BF09F7">
              <w:rPr>
                <w:noProof/>
                <w:sz w:val="22"/>
              </w:rPr>
              <w:t>exmedetomidine</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17657E8D" w:rsidR="003379BD" w:rsidRDefault="006A6CDD" w:rsidP="00332F32">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BF09F7">
              <w:rPr>
                <w:noProof/>
                <w:sz w:val="22"/>
              </w:rPr>
              <w:t>Bipolar disorder</w:t>
            </w:r>
            <w:r w:rsidR="00332F32">
              <w:rPr>
                <w:noProof/>
                <w:sz w:val="22"/>
              </w:rPr>
              <w:t>/ Schizophrenia</w:t>
            </w:r>
            <w:r w:rsidR="00BF09F7">
              <w:rPr>
                <w:noProof/>
                <w:sz w:val="22"/>
              </w:rPr>
              <w:t>: 120-180</w:t>
            </w:r>
            <w:r w:rsidR="0037561E">
              <w:rPr>
                <w:noProof/>
                <w:sz w:val="22"/>
              </w:rPr>
              <w:t xml:space="preserve"> </w:t>
            </w:r>
            <w:r w:rsidR="00332F32">
              <w:rPr>
                <w:noProof/>
                <w:sz w:val="22"/>
              </w:rPr>
              <w:t>mcg</w:t>
            </w:r>
            <w:r w:rsidR="00BF09F7">
              <w:rPr>
                <w:noProof/>
                <w:sz w:val="22"/>
              </w:rPr>
              <w:t xml:space="preserve"> initial dose with a maximum of 360 mcg/day</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442A82">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442A82">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442A82">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442A82">
              <w:rPr>
                <w:b w:val="0"/>
              </w:rPr>
            </w:r>
            <w:r w:rsidR="00442A82">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442A82">
              <w:rPr>
                <w:b w:val="0"/>
              </w:rPr>
            </w:r>
            <w:r w:rsidR="00442A82">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442A82">
              <w:rPr>
                <w:b w:val="0"/>
              </w:rPr>
            </w:r>
            <w:r w:rsidR="00442A82">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442A82">
              <w:rPr>
                <w:b w:val="0"/>
              </w:rPr>
            </w:r>
            <w:r w:rsidR="00442A82">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442A82">
              <w:rPr>
                <w:b w:val="0"/>
              </w:rPr>
            </w:r>
            <w:r w:rsidR="00442A82">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442A82">
              <w:rPr>
                <w:b w:val="0"/>
              </w:rPr>
            </w:r>
            <w:r w:rsidR="00442A82">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442A82">
              <w:rPr>
                <w:b w:val="0"/>
              </w:rPr>
            </w:r>
            <w:r w:rsidR="00442A82">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442A82">
              <w:rPr>
                <w:b w:val="0"/>
              </w:rPr>
            </w:r>
            <w:r w:rsidR="00442A82">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442A82">
              <w:rPr>
                <w:b w:val="0"/>
              </w:rPr>
            </w:r>
            <w:r w:rsidR="00442A82">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442A82">
              <w:rPr>
                <w:b w:val="0"/>
              </w:rPr>
            </w:r>
            <w:r w:rsidR="00442A82">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A91075">
            <w:pPr>
              <w:pStyle w:val="Heading4"/>
              <w:keepNext w:val="0"/>
              <w:tabs>
                <w:tab w:val="left" w:pos="540"/>
              </w:tabs>
              <w:spacing w:before="0"/>
              <w:ind w:left="547" w:hanging="547"/>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8DC8280" w14:textId="12E7E523" w:rsidR="003379BD" w:rsidRPr="007A6FC3" w:rsidRDefault="003379BD">
      <w:pPr>
        <w:rPr>
          <w:rFonts w:ascii="Arial" w:hAnsi="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37910BF7"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37561E" w:rsidRPr="0037561E">
              <w:rPr>
                <w:sz w:val="22"/>
              </w:rPr>
              <w:t>Igalmi®</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BF09F7" w:rsidRPr="00BF09F7">
              <w:rPr>
                <w:noProof/>
                <w:sz w:val="22"/>
              </w:rPr>
              <w:t xml:space="preserve">Dexmedetomidine </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A91075">
            <w:pPr>
              <w:pStyle w:val="Heading4"/>
              <w:keepNext w:val="0"/>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A91075">
            <w:pPr>
              <w:pStyle w:val="Heading6"/>
              <w:keepNext w:val="0"/>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6DBD40DD" w:rsidR="0021563E" w:rsidRPr="0056414C" w:rsidRDefault="003379BD" w:rsidP="00A91075">
            <w:pPr>
              <w:pStyle w:val="Heading6"/>
              <w:keepNext w:val="0"/>
              <w:rPr>
                <w:rFonts w:ascii="Times New Roman" w:hAnsi="Times New Roman"/>
                <w:b w:val="0"/>
              </w:rPr>
            </w:pPr>
            <w:r w:rsidRPr="0056414C">
              <w:rPr>
                <w:sz w:val="18"/>
                <w:szCs w:val="18"/>
              </w:rPr>
              <w:t>Most Common Side Effects</w:t>
            </w:r>
            <w:r w:rsidR="00A91075">
              <w:rPr>
                <w:sz w:val="18"/>
                <w:szCs w:val="18"/>
              </w:rPr>
              <w:t xml:space="preserve">: </w:t>
            </w:r>
            <w:r w:rsidR="006E2BC5">
              <w:rPr>
                <w:b w:val="0"/>
                <w:bCs/>
                <w:sz w:val="18"/>
                <w:szCs w:val="18"/>
              </w:rPr>
              <w:t>S</w:t>
            </w:r>
            <w:r w:rsidR="00A91075" w:rsidRPr="006E2BC5">
              <w:rPr>
                <w:b w:val="0"/>
                <w:bCs/>
                <w:sz w:val="18"/>
                <w:szCs w:val="18"/>
              </w:rPr>
              <w:t>omnolence</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1F9867D0"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A91075">
              <w:rPr>
                <w:rFonts w:ascii="Arial" w:hAnsi="Arial"/>
                <w:b/>
                <w:snapToGrid w:val="0"/>
                <w:color w:val="000000"/>
                <w:sz w:val="18"/>
              </w:rPr>
              <w:t xml:space="preserve">: </w:t>
            </w:r>
            <w:r w:rsidR="00A91075" w:rsidRPr="00A91075">
              <w:rPr>
                <w:rFonts w:ascii="Arial" w:hAnsi="Arial"/>
                <w:bCs/>
                <w:snapToGrid w:val="0"/>
                <w:color w:val="000000"/>
                <w:sz w:val="18"/>
              </w:rPr>
              <w:t>Oral hypoesthesia, xerostomia, dizziness, paresthesia, bradyarrhythmia, hypotension, orthostatic hypotension, prolonged QT interval, drug tolerance, tachyphylaxis, withdrawal symptoms</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77777777" w:rsidR="003379BD" w:rsidRDefault="003379BD" w:rsidP="006A6CDD">
            <w:pPr>
              <w:rPr>
                <w:b/>
              </w:rPr>
            </w:pPr>
            <w:r>
              <w:rPr>
                <w:rFonts w:ascii="Arial" w:hAnsi="Arial"/>
                <w:b/>
                <w:sz w:val="18"/>
              </w:rPr>
              <w:t>Rare Side Effects</w:t>
            </w:r>
            <w:r>
              <w:t xml:space="preserve">  </w:t>
            </w:r>
            <w:r w:rsidR="006A6CDD">
              <w:fldChar w:fldCharType="begin">
                <w:ffData>
                  <w:name w:val=""/>
                  <w:enabled/>
                  <w:calcOnExit w:val="0"/>
                  <w:statusText w:type="text" w:val="List the most common side effects of medication limit 200 characters"/>
                  <w:textInput/>
                </w:ffData>
              </w:fldChar>
            </w:r>
            <w:r w:rsidR="006A6CDD">
              <w:instrText xml:space="preserve"> FORMTEXT </w:instrText>
            </w:r>
            <w:r w:rsidR="006A6CDD">
              <w:fldChar w:fldCharType="separate"/>
            </w:r>
            <w:r w:rsidR="006A6CDD">
              <w:rPr>
                <w:noProof/>
              </w:rPr>
              <w:t> </w:t>
            </w:r>
            <w:r w:rsidR="006A6CDD">
              <w:rPr>
                <w:noProof/>
              </w:rPr>
              <w:t> </w:t>
            </w:r>
            <w:r w:rsidR="006A6CDD">
              <w:rPr>
                <w:noProof/>
              </w:rPr>
              <w:t> </w:t>
            </w:r>
            <w:r w:rsidR="006A6CDD">
              <w:rPr>
                <w:noProof/>
              </w:rPr>
              <w:t> </w:t>
            </w:r>
            <w:r w:rsidR="006A6CDD">
              <w:rPr>
                <w:noProof/>
              </w:rPr>
              <w:t> </w:t>
            </w:r>
            <w:r w:rsidR="006A6CDD">
              <w:fldChar w:fldCharType="end"/>
            </w:r>
          </w:p>
        </w:tc>
      </w:tr>
      <w:tr w:rsidR="003379BD" w14:paraId="0666E783" w14:textId="77777777" w:rsidTr="00683097">
        <w:trPr>
          <w:cantSplit/>
          <w:trHeight w:val="576"/>
        </w:trPr>
        <w:tc>
          <w:tcPr>
            <w:tcW w:w="11448" w:type="dxa"/>
            <w:gridSpan w:val="2"/>
            <w:tcBorders>
              <w:top w:val="nil"/>
              <w:left w:val="nil"/>
              <w:bottom w:val="nil"/>
              <w:right w:val="nil"/>
            </w:tcBorders>
          </w:tcPr>
          <w:p w14:paraId="15510920" w14:textId="225AF93E" w:rsidR="00724177" w:rsidRPr="00724177" w:rsidRDefault="003379BD" w:rsidP="00724177">
            <w:pPr>
              <w:rPr>
                <w:rFonts w:ascii="Arial" w:hAnsi="Arial"/>
                <w:b/>
                <w:snapToGrid w:val="0"/>
                <w:color w:val="000000"/>
                <w:sz w:val="18"/>
              </w:rPr>
            </w:pPr>
            <w:r>
              <w:rPr>
                <w:rFonts w:ascii="Arial" w:hAnsi="Arial"/>
                <w:b/>
                <w:snapToGrid w:val="0"/>
                <w:color w:val="000000"/>
                <w:sz w:val="18"/>
              </w:rPr>
              <w:t>Caution</w:t>
            </w:r>
            <w:r w:rsidR="00724177">
              <w:rPr>
                <w:rFonts w:ascii="Arial" w:hAnsi="Arial"/>
                <w:b/>
                <w:snapToGrid w:val="0"/>
                <w:color w:val="000000"/>
                <w:sz w:val="18"/>
              </w:rPr>
              <w:t xml:space="preserve">: </w:t>
            </w:r>
            <w:r w:rsidR="00724177" w:rsidRPr="00724177">
              <w:rPr>
                <w:rFonts w:ascii="Arial" w:hAnsi="Arial"/>
                <w:bCs/>
                <w:snapToGrid w:val="0"/>
                <w:color w:val="000000"/>
                <w:sz w:val="18"/>
              </w:rPr>
              <w:t>Precautions:</w:t>
            </w:r>
            <w:r w:rsidR="00724177" w:rsidRPr="00724177">
              <w:rPr>
                <w:rFonts w:ascii="Arial" w:hAnsi="Arial"/>
                <w:b/>
                <w:snapToGrid w:val="0"/>
                <w:color w:val="000000"/>
                <w:sz w:val="18"/>
              </w:rPr>
              <w:t xml:space="preserve"> </w:t>
            </w:r>
          </w:p>
          <w:p w14:paraId="60D7BCFB" w14:textId="18B2C9D6" w:rsidR="00724177" w:rsidRPr="00724177" w:rsidRDefault="00724177" w:rsidP="00724177">
            <w:pPr>
              <w:pStyle w:val="ListParagraph"/>
              <w:numPr>
                <w:ilvl w:val="0"/>
                <w:numId w:val="5"/>
              </w:numPr>
              <w:ind w:left="345"/>
              <w:rPr>
                <w:rFonts w:ascii="Arial" w:hAnsi="Arial"/>
                <w:bCs/>
                <w:snapToGrid w:val="0"/>
                <w:color w:val="000000"/>
                <w:sz w:val="18"/>
              </w:rPr>
            </w:pPr>
            <w:r w:rsidRPr="00724177">
              <w:rPr>
                <w:rFonts w:ascii="Arial" w:hAnsi="Arial"/>
                <w:b/>
                <w:snapToGrid w:val="0"/>
                <w:color w:val="000000"/>
                <w:sz w:val="18"/>
              </w:rPr>
              <w:t>Cardiovascular</w:t>
            </w:r>
            <w:r>
              <w:rPr>
                <w:rFonts w:ascii="Arial" w:hAnsi="Arial"/>
                <w:bCs/>
                <w:snapToGrid w:val="0"/>
                <w:color w:val="000000"/>
                <w:sz w:val="18"/>
              </w:rPr>
              <w:br/>
            </w:r>
            <w:r w:rsidRPr="00724177">
              <w:rPr>
                <w:rFonts w:ascii="Arial" w:hAnsi="Arial"/>
                <w:bCs/>
                <w:snapToGrid w:val="0"/>
                <w:color w:val="000000"/>
                <w:sz w:val="18"/>
              </w:rPr>
              <w:t xml:space="preserve">Dose-dependent hypotension, orthostatic hypotension, and bradycardia have been reported; hypotension and/or bradycardia may be more pronounced in patients with hypovolemia, diabetes mellitus, or chronic hypertension, and in geriatric patients. Reduce risk of falls, ensure adequate hydration, and make sure patient is alert and not experiencing orthostatic hypotension or symptomatic hypotension before resuming ambulation. Cases of hypotension and bradycardia, including some resulting in fatalities, have been reported with the IV formulation. Avoid use in patients with hypotension, orthostatic hypotension, advanced heart block, severe ventricular dysfunction, or history of syncope. QT prolongation has been reported. Avoid use in patients at risk of torsades de pointes or sudden death. </w:t>
            </w:r>
          </w:p>
          <w:p w14:paraId="4F79D767" w14:textId="0371A741" w:rsidR="00724177" w:rsidRPr="00724177" w:rsidRDefault="00724177" w:rsidP="00724177">
            <w:pPr>
              <w:pStyle w:val="ListParagraph"/>
              <w:numPr>
                <w:ilvl w:val="0"/>
                <w:numId w:val="5"/>
              </w:numPr>
              <w:ind w:left="345"/>
              <w:rPr>
                <w:rFonts w:ascii="Arial" w:hAnsi="Arial"/>
                <w:bCs/>
                <w:snapToGrid w:val="0"/>
                <w:color w:val="000000"/>
                <w:sz w:val="18"/>
              </w:rPr>
            </w:pPr>
            <w:r w:rsidRPr="00724177">
              <w:rPr>
                <w:rFonts w:ascii="Arial" w:hAnsi="Arial"/>
                <w:b/>
                <w:snapToGrid w:val="0"/>
                <w:color w:val="000000"/>
                <w:sz w:val="18"/>
              </w:rPr>
              <w:t>Neurologic</w:t>
            </w:r>
            <w:r>
              <w:rPr>
                <w:rFonts w:ascii="Arial" w:hAnsi="Arial"/>
                <w:b/>
                <w:snapToGrid w:val="0"/>
                <w:color w:val="000000"/>
                <w:sz w:val="18"/>
              </w:rPr>
              <w:br/>
            </w:r>
            <w:r w:rsidRPr="00724177">
              <w:rPr>
                <w:rFonts w:ascii="Arial" w:hAnsi="Arial"/>
                <w:bCs/>
                <w:snapToGrid w:val="0"/>
                <w:color w:val="000000"/>
                <w:sz w:val="18"/>
              </w:rPr>
              <w:t xml:space="preserve">Somnolence, including fatigue and sluggishness, has been reported; avoid driving or operating hazardous machinery for at least 8 hours after taking drug. </w:t>
            </w:r>
          </w:p>
          <w:p w14:paraId="10496BAE" w14:textId="3554AF95" w:rsidR="00724177" w:rsidRPr="00724177" w:rsidRDefault="00724177" w:rsidP="00724177">
            <w:pPr>
              <w:pStyle w:val="ListParagraph"/>
              <w:numPr>
                <w:ilvl w:val="0"/>
                <w:numId w:val="5"/>
              </w:numPr>
              <w:ind w:left="345"/>
              <w:rPr>
                <w:rFonts w:ascii="Arial" w:hAnsi="Arial"/>
                <w:bCs/>
                <w:snapToGrid w:val="0"/>
                <w:color w:val="000000"/>
                <w:sz w:val="18"/>
              </w:rPr>
            </w:pPr>
            <w:r w:rsidRPr="00724177">
              <w:rPr>
                <w:rFonts w:ascii="Arial" w:hAnsi="Arial"/>
                <w:b/>
                <w:snapToGrid w:val="0"/>
                <w:color w:val="000000"/>
                <w:sz w:val="18"/>
              </w:rPr>
              <w:t>Tolerance</w:t>
            </w:r>
            <w:r>
              <w:rPr>
                <w:rFonts w:ascii="Arial" w:hAnsi="Arial"/>
                <w:bCs/>
                <w:snapToGrid w:val="0"/>
                <w:color w:val="000000"/>
                <w:sz w:val="18"/>
              </w:rPr>
              <w:br/>
            </w:r>
            <w:r w:rsidRPr="00724177">
              <w:rPr>
                <w:rFonts w:ascii="Arial" w:hAnsi="Arial"/>
                <w:bCs/>
                <w:snapToGrid w:val="0"/>
                <w:color w:val="000000"/>
                <w:sz w:val="18"/>
              </w:rPr>
              <w:t xml:space="preserve">Tolerance and tachyphylaxis has been reported with IV formulation; risk of tolerance and tachyphylaxis if used longer than 24 hours (unapproved use). </w:t>
            </w:r>
          </w:p>
          <w:p w14:paraId="4DC461F5" w14:textId="77777777" w:rsidR="003379BD" w:rsidRPr="00724177" w:rsidRDefault="00724177" w:rsidP="00724177">
            <w:pPr>
              <w:pStyle w:val="ListParagraph"/>
              <w:numPr>
                <w:ilvl w:val="0"/>
                <w:numId w:val="5"/>
              </w:numPr>
              <w:ind w:left="345"/>
              <w:rPr>
                <w:b/>
              </w:rPr>
            </w:pPr>
            <w:r w:rsidRPr="00724177">
              <w:rPr>
                <w:rFonts w:ascii="Arial" w:hAnsi="Arial"/>
                <w:b/>
                <w:snapToGrid w:val="0"/>
                <w:color w:val="000000"/>
                <w:sz w:val="18"/>
              </w:rPr>
              <w:t>Withdrawal</w:t>
            </w:r>
            <w:r>
              <w:rPr>
                <w:rFonts w:ascii="Arial" w:hAnsi="Arial"/>
                <w:bCs/>
                <w:snapToGrid w:val="0"/>
                <w:color w:val="000000"/>
                <w:sz w:val="18"/>
              </w:rPr>
              <w:br/>
            </w:r>
            <w:r w:rsidRPr="00724177">
              <w:rPr>
                <w:rFonts w:ascii="Arial" w:hAnsi="Arial"/>
                <w:bCs/>
                <w:snapToGrid w:val="0"/>
                <w:color w:val="000000"/>
                <w:sz w:val="18"/>
              </w:rPr>
              <w:t>Symptoms of withdrawal have been reported with IV formulation; risk of withdrawal if used longer than 24 hours (unapproved use).</w:t>
            </w:r>
          </w:p>
          <w:p w14:paraId="21CE678A" w14:textId="171896BE" w:rsidR="00724177" w:rsidRPr="00724177" w:rsidRDefault="00724177" w:rsidP="00724177">
            <w:pPr>
              <w:ind w:left="-15"/>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4CC3FEB" w14:textId="77777777" w:rsidR="003379BD" w:rsidRDefault="003379BD" w:rsidP="006A6CDD">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warnings that are known about the medication  Limit 2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syndrome notations known about the medication  Limit 1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177C4C">
            <w:pPr>
              <w:pStyle w:val="BodyText"/>
              <w:keepNext/>
              <w:keepLines/>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177C4C">
            <w:pPr>
              <w:pStyle w:val="BodyTextIndent2"/>
              <w:keepNext/>
              <w:keepLines/>
              <w:pageBreakBefore/>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177C4C">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177C4C">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177C4C">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177C4C">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177C4C">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177C4C">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177C4C">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rsidP="00177C4C">
            <w:pPr>
              <w:keepNext/>
              <w:keepLines/>
              <w:pageBreakBefore/>
              <w:tabs>
                <w:tab w:val="left" w:pos="360"/>
                <w:tab w:val="left" w:pos="630"/>
              </w:tabs>
              <w:rPr>
                <w:rFonts w:ascii="Arial" w:hAnsi="Arial"/>
                <w:sz w:val="10"/>
              </w:rPr>
            </w:pPr>
          </w:p>
        </w:tc>
      </w:tr>
    </w:tbl>
    <w:p w14:paraId="1F6ED755" w14:textId="77777777" w:rsidR="0021563E" w:rsidRPr="00546EF3" w:rsidRDefault="0021563E" w:rsidP="00177C4C">
      <w:pPr>
        <w:keepNext/>
        <w:keepLines/>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rsidP="00177C4C">
            <w:pPr>
              <w:keepNext/>
              <w:keepLines/>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177C4C">
            <w:pPr>
              <w:keepNext/>
              <w:keepLines/>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177C4C">
            <w:pPr>
              <w:keepNext/>
              <w:keepLines/>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177C4C">
            <w:pPr>
              <w:keepNext/>
              <w:keepLines/>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177C4C">
            <w:pPr>
              <w:keepNext/>
              <w:keepLines/>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rsidP="00177C4C">
            <w:pPr>
              <w:keepNext/>
              <w:keepLines/>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442A82">
              <w:rPr>
                <w:rFonts w:ascii="Arial" w:hAnsi="Arial"/>
                <w:sz w:val="18"/>
              </w:rPr>
            </w:r>
            <w:r w:rsidR="00442A8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2A0F" w14:textId="77777777" w:rsidR="00C310ED" w:rsidRDefault="00C310ED" w:rsidP="007A6FC3">
      <w:r>
        <w:separator/>
      </w:r>
    </w:p>
  </w:endnote>
  <w:endnote w:type="continuationSeparator" w:id="0">
    <w:p w14:paraId="75C985B0" w14:textId="77777777" w:rsidR="00C310ED" w:rsidRDefault="00C310ED"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6554" w14:textId="77777777" w:rsidR="00C310ED" w:rsidRDefault="00C310ED" w:rsidP="007A6FC3">
      <w:r>
        <w:separator/>
      </w:r>
    </w:p>
  </w:footnote>
  <w:footnote w:type="continuationSeparator" w:id="0">
    <w:p w14:paraId="5F2B0F29" w14:textId="77777777" w:rsidR="00C310ED" w:rsidRDefault="00C310ED"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4" w15:restartNumberingAfterBreak="0">
    <w:nsid w:val="7C6C07B4"/>
    <w:multiLevelType w:val="hybridMultilevel"/>
    <w:tmpl w:val="7280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 w:numId="5" w16cid:durableId="402606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etcAT433bLP26z50v1JqAoub0+G4n3/He1MTIh7m4U3FUGznMw21XJEMT92gnRMJuLgp2uyNoodJdtm7nYcQ==" w:salt="kUlf9cAO0yZgONET0wYyO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C2688"/>
    <w:rsid w:val="000D55C9"/>
    <w:rsid w:val="00101422"/>
    <w:rsid w:val="00177C4C"/>
    <w:rsid w:val="0018307F"/>
    <w:rsid w:val="001F5BFF"/>
    <w:rsid w:val="0021563E"/>
    <w:rsid w:val="00295B89"/>
    <w:rsid w:val="00311731"/>
    <w:rsid w:val="0031599E"/>
    <w:rsid w:val="00332F32"/>
    <w:rsid w:val="003379BD"/>
    <w:rsid w:val="0037561E"/>
    <w:rsid w:val="003A15FD"/>
    <w:rsid w:val="003B70D9"/>
    <w:rsid w:val="003D356D"/>
    <w:rsid w:val="003E29B2"/>
    <w:rsid w:val="00442A82"/>
    <w:rsid w:val="004553BF"/>
    <w:rsid w:val="0047002C"/>
    <w:rsid w:val="004A6C26"/>
    <w:rsid w:val="004C2872"/>
    <w:rsid w:val="004D379B"/>
    <w:rsid w:val="005325D4"/>
    <w:rsid w:val="00546EF3"/>
    <w:rsid w:val="005508EB"/>
    <w:rsid w:val="0056414C"/>
    <w:rsid w:val="005A70E2"/>
    <w:rsid w:val="005E658D"/>
    <w:rsid w:val="005F3D5E"/>
    <w:rsid w:val="00606B81"/>
    <w:rsid w:val="00621771"/>
    <w:rsid w:val="0064565E"/>
    <w:rsid w:val="00653309"/>
    <w:rsid w:val="00683097"/>
    <w:rsid w:val="006A6CDD"/>
    <w:rsid w:val="006B7A42"/>
    <w:rsid w:val="006D2D96"/>
    <w:rsid w:val="006E2BC5"/>
    <w:rsid w:val="00724177"/>
    <w:rsid w:val="00775C94"/>
    <w:rsid w:val="007A6FC3"/>
    <w:rsid w:val="007F44C1"/>
    <w:rsid w:val="008207D6"/>
    <w:rsid w:val="00872804"/>
    <w:rsid w:val="008D1377"/>
    <w:rsid w:val="008E0D37"/>
    <w:rsid w:val="00916D82"/>
    <w:rsid w:val="00927055"/>
    <w:rsid w:val="00934FD5"/>
    <w:rsid w:val="0098416A"/>
    <w:rsid w:val="00A05C70"/>
    <w:rsid w:val="00A60207"/>
    <w:rsid w:val="00A91075"/>
    <w:rsid w:val="00AA7ED4"/>
    <w:rsid w:val="00AB1650"/>
    <w:rsid w:val="00B23CEC"/>
    <w:rsid w:val="00B411F5"/>
    <w:rsid w:val="00B47C64"/>
    <w:rsid w:val="00B82162"/>
    <w:rsid w:val="00B83999"/>
    <w:rsid w:val="00BF09F7"/>
    <w:rsid w:val="00C310ED"/>
    <w:rsid w:val="00CA71B6"/>
    <w:rsid w:val="00CA7C90"/>
    <w:rsid w:val="00CC7A80"/>
    <w:rsid w:val="00DF0FF9"/>
    <w:rsid w:val="00E02750"/>
    <w:rsid w:val="00E45B1A"/>
    <w:rsid w:val="00E7205C"/>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724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8</cp:revision>
  <cp:lastPrinted>2008-02-05T17:04:00Z</cp:lastPrinted>
  <dcterms:created xsi:type="dcterms:W3CDTF">2024-08-21T14:38:00Z</dcterms:created>
  <dcterms:modified xsi:type="dcterms:W3CDTF">2024-09-06T18:43:00Z</dcterms:modified>
</cp:coreProperties>
</file>